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F4" w:rsidRDefault="00CC18CF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EF1DF4" w:rsidRDefault="00CC18CF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EF1DF4" w:rsidRDefault="00CC18CF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EF1DF4" w:rsidRDefault="00CC18C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DF4" w:rsidRDefault="00CC18CF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ДИСЦИПЛИНЕ/ПРОФЕССИОНАЛЬНОМУ МОДУЛЮ</w:t>
      </w:r>
    </w:p>
    <w:p w:rsidR="00EF1DF4" w:rsidRDefault="00EF1D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DF4" w:rsidRPr="00B66589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589">
        <w:rPr>
          <w:rFonts w:ascii="Times New Roman" w:hAnsi="Times New Roman" w:cs="Times New Roman"/>
          <w:sz w:val="28"/>
          <w:szCs w:val="28"/>
          <w:u w:val="single"/>
        </w:rPr>
        <w:t xml:space="preserve">ОП.11 </w:t>
      </w:r>
      <w:r w:rsidRPr="00B66589">
        <w:rPr>
          <w:rFonts w:ascii="Times New Roman" w:hAnsi="Times New Roman" w:cs="Times New Roman"/>
          <w:sz w:val="28"/>
          <w:szCs w:val="28"/>
          <w:u w:val="single"/>
        </w:rPr>
        <w:t>Основы предпринимательской деятельности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дисциплины/профессионального модуля)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23.02.07 Техническое обслуживание и ремонт двигателей, систем и агрегатов автомобилей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EF1DF4" w:rsidRDefault="00EF1D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EF1DF4">
        <w:tc>
          <w:tcPr>
            <w:tcW w:w="4785" w:type="dxa"/>
          </w:tcPr>
          <w:p w:rsidR="00EF1DF4" w:rsidRDefault="00CC18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EF1DF4" w:rsidRDefault="00CC18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EF1DF4" w:rsidRDefault="00CC18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EF1DF4" w:rsidRDefault="00CC18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EF1DF4" w:rsidRDefault="00CC18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EF1DF4" w:rsidRDefault="00CC18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(подпись)И.О.Фамилия</w:t>
            </w:r>
          </w:p>
        </w:tc>
        <w:tc>
          <w:tcPr>
            <w:tcW w:w="4786" w:type="dxa"/>
          </w:tcPr>
          <w:p w:rsidR="00EF1DF4" w:rsidRDefault="00EF1DF4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DF4" w:rsidRDefault="00EF1D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23.02.07 Техническое обслуживание и ремонт двигателей, систем 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агрегатов автомобилей        </w:t>
      </w:r>
    </w:p>
    <w:p w:rsidR="00EF1DF4" w:rsidRDefault="00CC18CF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 учебной дисциплине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ОП.11 Основы предпринимательской деятельности</w:t>
      </w:r>
    </w:p>
    <w:p w:rsidR="00EF1DF4" w:rsidRDefault="00EF1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F1DF4" w:rsidRDefault="00CC1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Составители: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Ермоленко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Е.И., преподаватель экономики</w:t>
      </w:r>
    </w:p>
    <w:p w:rsidR="00EF1DF4" w:rsidRDefault="00CC18CF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en-US"/>
        </w:rPr>
        <w:t>(Ф.И.О., должность)</w:t>
      </w: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F1DF4" w:rsidRDefault="00CC1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F1DF4" w:rsidRDefault="00EF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8388"/>
        <w:gridCol w:w="1183"/>
      </w:tblGrid>
      <w:tr w:rsidR="00EF1DF4">
        <w:tc>
          <w:tcPr>
            <w:tcW w:w="8388" w:type="dxa"/>
          </w:tcPr>
          <w:p w:rsidR="00EF1DF4" w:rsidRDefault="00EF1DF4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F1DF4">
        <w:tc>
          <w:tcPr>
            <w:tcW w:w="8388" w:type="dxa"/>
          </w:tcPr>
          <w:p w:rsidR="00EF1DF4" w:rsidRDefault="00CC18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1DF4">
        <w:tc>
          <w:tcPr>
            <w:tcW w:w="8388" w:type="dxa"/>
          </w:tcPr>
          <w:p w:rsidR="00EF1DF4" w:rsidRDefault="00CC18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DF4">
        <w:tc>
          <w:tcPr>
            <w:tcW w:w="8388" w:type="dxa"/>
          </w:tcPr>
          <w:p w:rsidR="00EF1DF4" w:rsidRDefault="00CC18CF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</w:t>
            </w: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1 – 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1DF4">
        <w:tc>
          <w:tcPr>
            <w:tcW w:w="8388" w:type="dxa"/>
          </w:tcPr>
          <w:p w:rsidR="00EF1DF4" w:rsidRDefault="00CC18CF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F1DF4">
        <w:trPr>
          <w:trHeight w:val="670"/>
        </w:trPr>
        <w:tc>
          <w:tcPr>
            <w:tcW w:w="8388" w:type="dxa"/>
          </w:tcPr>
          <w:p w:rsidR="00EF1DF4" w:rsidRDefault="00CC18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EF1DF4" w:rsidRDefault="00CC18CF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EF1DF4" w:rsidRDefault="00CC18CF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тестовые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задания (критерии оценки)</w:t>
            </w:r>
          </w:p>
          <w:p w:rsidR="00EF1DF4" w:rsidRDefault="00CC18CF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текущий контроль (критерии оценки)</w:t>
            </w: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F1DF4" w:rsidRDefault="00EF1DF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F4" w:rsidRDefault="00EF1DF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F1DF4" w:rsidRDefault="00EF1DF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F1DF4">
        <w:tc>
          <w:tcPr>
            <w:tcW w:w="8388" w:type="dxa"/>
          </w:tcPr>
          <w:p w:rsidR="00EF1DF4" w:rsidRDefault="00CC18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F1DF4">
        <w:tc>
          <w:tcPr>
            <w:tcW w:w="8388" w:type="dxa"/>
          </w:tcPr>
          <w:p w:rsidR="00EF1DF4" w:rsidRDefault="00CC18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F1DF4">
        <w:tc>
          <w:tcPr>
            <w:tcW w:w="8388" w:type="dxa"/>
          </w:tcPr>
          <w:p w:rsidR="00EF1DF4" w:rsidRDefault="00CC18C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EF1DF4" w:rsidRDefault="00CC18C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EF1DF4" w:rsidRDefault="00EF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DF4" w:rsidRDefault="00CC18CF">
      <w:pPr>
        <w:spacing w:after="0" w:line="360" w:lineRule="auto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EF1DF4" w:rsidRDefault="00EF1DF4">
      <w:pPr>
        <w:spacing w:after="0" w:line="36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ПО по специальности 23.02.07 Техническое обслуживание и ремонт двигателей, систем и агрегатов </w:t>
      </w:r>
      <w:r>
        <w:rPr>
          <w:rFonts w:ascii="Times New Roman" w:hAnsi="Times New Roman" w:cs="Times New Roman"/>
          <w:sz w:val="28"/>
          <w:szCs w:val="28"/>
        </w:rPr>
        <w:t>автомобилей по укрупненной группе специальностей 23.00.00 Техника и технологии наземного транспорта</w:t>
      </w:r>
    </w:p>
    <w:p w:rsidR="00EF1DF4" w:rsidRDefault="00CC18CF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ОП.11 Основы предпринимательской деятельности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являются освоенные умения и усвоенные знания, направленные на формиро</w:t>
      </w:r>
      <w:r>
        <w:rPr>
          <w:rFonts w:ascii="Times New Roman" w:hAnsi="Times New Roman" w:cs="Times New Roman"/>
          <w:sz w:val="28"/>
          <w:szCs w:val="28"/>
        </w:rPr>
        <w:t>вание общих и профессиональных компетенций.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учебной дисциплине -</w:t>
      </w:r>
      <w:r>
        <w:rPr>
          <w:rFonts w:ascii="Times New Roman" w:hAnsi="Times New Roman" w:cs="Times New Roman"/>
          <w:sz w:val="28"/>
          <w:szCs w:val="28"/>
        </w:rPr>
        <w:t>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зачёт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EF1DF4">
        <w:tc>
          <w:tcPr>
            <w:tcW w:w="1842" w:type="dxa"/>
          </w:tcPr>
          <w:p w:rsidR="00EF1DF4" w:rsidRDefault="00EF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EF1DF4">
        <w:tc>
          <w:tcPr>
            <w:tcW w:w="1842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4 курс 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Дифференцированный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2977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Собеседование</w:t>
            </w:r>
          </w:p>
        </w:tc>
      </w:tr>
    </w:tbl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>
        <w:rPr>
          <w:rFonts w:ascii="Times New Roman" w:hAnsi="Times New Roman" w:cs="Times New Roman"/>
          <w:sz w:val="28"/>
          <w:szCs w:val="28"/>
        </w:rPr>
        <w:t>дифференцированного</w:t>
      </w:r>
      <w:r>
        <w:rPr>
          <w:rFonts w:ascii="Times New Roman" w:hAnsi="Times New Roman" w:cs="Times New Roman"/>
          <w:sz w:val="28"/>
          <w:szCs w:val="28"/>
        </w:rPr>
        <w:t xml:space="preserve"> зачёта</w:t>
      </w:r>
      <w:r>
        <w:rPr>
          <w:rFonts w:ascii="Times New Roman" w:hAnsi="Times New Roman" w:cs="Times New Roman"/>
          <w:sz w:val="28"/>
          <w:szCs w:val="28"/>
        </w:rPr>
        <w:t xml:space="preserve">  является качественная оценка в баллах от 1 до 5.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У1</w:t>
      </w:r>
      <w:r w:rsidRPr="00B66589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-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 перечислить современные формы предпринимательской деятельности в России;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У2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- определять основные экономические показатели предприятия;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У3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- описывать разработку бизнес-плана;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У4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>- определять основные показатели финансового состояния фирмы.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</w:t>
      </w:r>
      <w:r>
        <w:rPr>
          <w:rFonts w:ascii="Times New Roman" w:hAnsi="Times New Roman" w:cs="Times New Roman"/>
          <w:sz w:val="28"/>
          <w:szCs w:val="28"/>
        </w:rPr>
        <w:t>е контроля и оценки по учебной дисциплины обучающийся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З1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- способы и порядок организации, регистрации и ликвидации фирм;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З2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- основные понятия маркетинга;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З3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- основы менеджмента;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З4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- виды сотрудничества малых предприятий с крупными фирмами,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внешнеэкономического сотрудничества;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З5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- источники финансирования фирмы;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З6 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>- основы бухучета и налогообложения.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 профессиональные компетенции: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выписка из рабочей программы) 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01. В</w:t>
      </w:r>
      <w:r>
        <w:rPr>
          <w:rFonts w:ascii="Times New Roman" w:hAnsi="Times New Roman" w:cs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развитие.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 05. Осуществлять устную и письменную коммуникацию на государственном языке с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социального и культурного контекста.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06. Проявлять гражданско-п</w:t>
      </w:r>
      <w:r>
        <w:rPr>
          <w:rFonts w:ascii="Times New Roman" w:hAnsi="Times New Roman" w:cs="Times New Roman"/>
          <w:sz w:val="28"/>
          <w:szCs w:val="28"/>
        </w:rPr>
        <w:t xml:space="preserve">атриотическую позицию, демонстрировать осознанное поведение на основе традиционных общечеловеческих ценностей.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 09. Использовать информационные технологии в профессиональной деятельности.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 11. Планировать предпринимательскую деятельность в професси</w:t>
      </w:r>
      <w:r>
        <w:rPr>
          <w:rFonts w:ascii="Times New Roman" w:hAnsi="Times New Roman" w:cs="Times New Roman"/>
          <w:sz w:val="28"/>
          <w:szCs w:val="28"/>
        </w:rPr>
        <w:t>ональной сфере.</w:t>
      </w: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F1DF4" w:rsidRDefault="00CC18C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УД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ОП.11 Основы предпринимательской деятельности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(наименование дисциплины/модуля)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>
        <w:rPr>
          <w:rFonts w:ascii="Times New Roman" w:hAnsi="Times New Roman" w:cs="Times New Roman"/>
          <w:sz w:val="28"/>
        </w:rPr>
        <w:t>Контроль и оценка освоения учебной дисциплины по темам (раз</w:t>
      </w:r>
      <w:r>
        <w:rPr>
          <w:rFonts w:ascii="Times New Roman" w:hAnsi="Times New Roman" w:cs="Times New Roman"/>
          <w:sz w:val="28"/>
        </w:rPr>
        <w:t>делам).</w:t>
      </w:r>
    </w:p>
    <w:tbl>
      <w:tblPr>
        <w:tblStyle w:val="a4"/>
        <w:tblW w:w="0" w:type="auto"/>
        <w:tblLook w:val="04A0"/>
      </w:tblPr>
      <w:tblGrid>
        <w:gridCol w:w="3459"/>
        <w:gridCol w:w="2839"/>
        <w:gridCol w:w="3273"/>
      </w:tblGrid>
      <w:tr w:rsidR="00EF1DF4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4929" w:type="dxa"/>
            <w:tcBorders>
              <w:bottom w:val="single" w:sz="4" w:space="0" w:color="000000" w:themeColor="text1"/>
            </w:tcBorders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Проверяемые У, З, ОК, ПК</w:t>
            </w:r>
          </w:p>
        </w:tc>
      </w:tr>
      <w:tr w:rsidR="00EF1DF4">
        <w:tc>
          <w:tcPr>
            <w:tcW w:w="4928" w:type="dxa"/>
            <w:tcBorders>
              <w:bottom w:val="single" w:sz="4" w:space="0" w:color="000000" w:themeColor="text1"/>
              <w:right w:val="nil"/>
            </w:tcBorders>
          </w:tcPr>
          <w:p w:rsidR="00EF1DF4" w:rsidRDefault="00CC18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Курс</w:t>
            </w:r>
          </w:p>
        </w:tc>
        <w:tc>
          <w:tcPr>
            <w:tcW w:w="49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F1DF4" w:rsidRDefault="00EF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929" w:type="dxa"/>
            <w:tcBorders>
              <w:left w:val="nil"/>
            </w:tcBorders>
          </w:tcPr>
          <w:p w:rsidR="00EF1DF4" w:rsidRDefault="00EF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EF1DF4">
        <w:tc>
          <w:tcPr>
            <w:tcW w:w="4928" w:type="dxa"/>
            <w:tcBorders>
              <w:right w:val="nil"/>
            </w:tcBorders>
          </w:tcPr>
          <w:p w:rsidR="00EF1DF4" w:rsidRDefault="00CC18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Текущий контроль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EF1DF4" w:rsidRDefault="00EF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929" w:type="dxa"/>
            <w:tcBorders>
              <w:left w:val="nil"/>
            </w:tcBorders>
          </w:tcPr>
          <w:p w:rsidR="00EF1DF4" w:rsidRDefault="00EF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EF1DF4">
        <w:tc>
          <w:tcPr>
            <w:tcW w:w="4928" w:type="dxa"/>
          </w:tcPr>
          <w:p w:rsidR="00EF1DF4" w:rsidRDefault="00CC18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Предпринимательство и его место в современной экономике</w:t>
            </w: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ОПФ</w:t>
            </w: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Зок1/2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Зок1/4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Зок2/2</w:t>
            </w:r>
          </w:p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/1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/2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/1</w:t>
            </w:r>
          </w:p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</w:tr>
      <w:tr w:rsidR="00EF1DF4">
        <w:tc>
          <w:tcPr>
            <w:tcW w:w="4928" w:type="dxa"/>
          </w:tcPr>
          <w:p w:rsidR="00EF1DF4" w:rsidRDefault="00EF1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Устав</w:t>
            </w: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Зок1/2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Зок1/4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Зок2/2</w:t>
            </w:r>
          </w:p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/1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/2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/1</w:t>
            </w:r>
          </w:p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</w:tr>
      <w:tr w:rsidR="00EF1DF4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 w:eastAsia="zh-CN"/>
              </w:rPr>
              <w:t>Экономика малого предприятия</w:t>
            </w:r>
          </w:p>
        </w:tc>
        <w:tc>
          <w:tcPr>
            <w:tcW w:w="4929" w:type="dxa"/>
            <w:tcBorders>
              <w:bottom w:val="single" w:sz="4" w:space="0" w:color="000000" w:themeColor="text1"/>
            </w:tcBorders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Малый</w:t>
            </w:r>
            <w:r>
              <w:rPr>
                <w:rFonts w:ascii="Times New Roman" w:hAnsi="Times New Roman" w:cs="Times New Roman"/>
                <w:sz w:val="28"/>
              </w:rPr>
              <w:t xml:space="preserve"> бизнес</w:t>
            </w: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Зок1/2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Зок1/4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Зок2/2</w:t>
            </w:r>
          </w:p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/1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/2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/1</w:t>
            </w:r>
          </w:p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</w:tr>
      <w:tr w:rsidR="00EF1DF4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6589">
              <w:rPr>
                <w:rFonts w:ascii="Times New Roman" w:hAnsi="Times New Roman" w:cs="Times New Roman"/>
                <w:sz w:val="28"/>
                <w:lang w:eastAsia="zh-CN"/>
              </w:rPr>
              <w:t xml:space="preserve">Финансы и 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расчёты</w:t>
            </w:r>
            <w:r w:rsidRPr="00B66589">
              <w:rPr>
                <w:rFonts w:ascii="Times New Roman" w:hAnsi="Times New Roman" w:cs="Times New Roman"/>
                <w:sz w:val="28"/>
                <w:lang w:eastAsia="zh-CN"/>
              </w:rPr>
              <w:t xml:space="preserve"> в бизнесе. </w:t>
            </w:r>
          </w:p>
        </w:tc>
        <w:tc>
          <w:tcPr>
            <w:tcW w:w="4929" w:type="dxa"/>
            <w:tcBorders>
              <w:bottom w:val="single" w:sz="4" w:space="0" w:color="000000" w:themeColor="text1"/>
            </w:tcBorders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Банковская</w:t>
            </w:r>
            <w:r>
              <w:rPr>
                <w:rFonts w:ascii="Times New Roman" w:hAnsi="Times New Roman" w:cs="Times New Roman"/>
                <w:sz w:val="28"/>
              </w:rPr>
              <w:t xml:space="preserve"> система</w:t>
            </w: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Зок1/2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Зок1/4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Зок2/2</w:t>
            </w:r>
          </w:p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/1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/2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Зок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/1</w:t>
            </w:r>
          </w:p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</w:tr>
      <w:tr w:rsidR="00EF1DF4">
        <w:tc>
          <w:tcPr>
            <w:tcW w:w="4928" w:type="dxa"/>
            <w:tcBorders>
              <w:right w:val="nil"/>
            </w:tcBorders>
          </w:tcPr>
          <w:p w:rsidR="00EF1DF4" w:rsidRDefault="00CC18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Промежуточный контроль</w:t>
            </w:r>
          </w:p>
        </w:tc>
        <w:tc>
          <w:tcPr>
            <w:tcW w:w="4929" w:type="dxa"/>
            <w:tcBorders>
              <w:left w:val="nil"/>
              <w:right w:val="nil"/>
            </w:tcBorders>
          </w:tcPr>
          <w:p w:rsidR="00EF1DF4" w:rsidRDefault="00EF1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  <w:tcBorders>
              <w:left w:val="nil"/>
            </w:tcBorders>
          </w:tcPr>
          <w:p w:rsidR="00EF1DF4" w:rsidRDefault="00EF1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1DF4">
        <w:tc>
          <w:tcPr>
            <w:tcW w:w="4928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Дифференцированный </w:t>
            </w: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Билеты для </w:t>
            </w:r>
            <w:r>
              <w:rPr>
                <w:rFonts w:ascii="Times New Roman" w:hAnsi="Times New Roman" w:cs="Times New Roman"/>
                <w:sz w:val="28"/>
              </w:rPr>
              <w:t>зачёта</w:t>
            </w:r>
          </w:p>
        </w:tc>
        <w:tc>
          <w:tcPr>
            <w:tcW w:w="4929" w:type="dxa"/>
          </w:tcPr>
          <w:p w:rsidR="00EF1DF4" w:rsidRDefault="00CC1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1DF4" w:rsidRDefault="00CC18CF">
      <w:pPr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 w:type="page"/>
      </w:r>
    </w:p>
    <w:p w:rsidR="00EF1DF4" w:rsidRDefault="00CC18CF">
      <w:pPr>
        <w:keepNext/>
        <w:numPr>
          <w:ilvl w:val="0"/>
          <w:numId w:val="2"/>
        </w:numPr>
        <w:tabs>
          <w:tab w:val="clear" w:pos="644"/>
          <w:tab w:val="left" w:pos="142"/>
        </w:tabs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EF1DF4" w:rsidRDefault="00CC18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и лабораторных работ.</w:t>
      </w:r>
    </w:p>
    <w:p w:rsidR="00EF1DF4" w:rsidRDefault="00CC18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ОПФ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научиться определять организационно-правовые формы коммерческих и некоммерческих организаций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 изучить особенности правового положения различных видов организаций.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цель работы, теоретическую часть. 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пределить главное.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Сделать выводы.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ответы на контрольные вопросы.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1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Ответьте на вопрос.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Каковы гарантии прав кредиторов при реорганизации и ликвидации юридического лица?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составления ответа используйте положения следующих </w:t>
      </w:r>
      <w:r>
        <w:rPr>
          <w:rFonts w:ascii="Times New Roman" w:eastAsia="Times New Roman" w:hAnsi="Times New Roman" w:cs="Times New Roman"/>
          <w:sz w:val="24"/>
          <w:szCs w:val="24"/>
        </w:rPr>
        <w:t>статей Гражданского кодекса РФ: статья 58 часть 1, статья 60 части 1-2, статья 63 части 1, 3, 4.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2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Заполните таблицу (курсивом указаны статьи Гражданского кодекса, которые следует использовать для заполнения ячеек)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Организационно-правовые формы ком</w:t>
      </w:r>
      <w:r>
        <w:rPr>
          <w:rFonts w:ascii="Times New Roman" w:eastAsia="Times New Roman" w:hAnsi="Times New Roman" w:cs="Times New Roman"/>
          <w:sz w:val="24"/>
          <w:szCs w:val="24"/>
        </w:rPr>
        <w:t>мерческих организаций</w:t>
      </w:r>
    </w:p>
    <w:tbl>
      <w:tblPr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1"/>
        <w:gridCol w:w="1690"/>
        <w:gridCol w:w="2016"/>
        <w:gridCol w:w="2061"/>
        <w:gridCol w:w="1997"/>
      </w:tblGrid>
      <w:tr w:rsidR="00EF1D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(учредители)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деятельностью организации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участников (учредителей)</w:t>
            </w:r>
          </w:p>
        </w:tc>
      </w:tr>
      <w:tr w:rsidR="00EF1D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товарищество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69 ч.1,2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Ст.66 ч.4 абзац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Ст.71 ч.1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75 ч.1</w:t>
            </w:r>
          </w:p>
        </w:tc>
      </w:tr>
      <w:tr w:rsidR="00EF1D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Товарищество на вере (коммандитное)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82 ч.1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66 ч.4 абзацы 1-2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84 ч.1 (первое предложение),ч.2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75 ч.1 ст. 82 ч.1 (вкладчики несут …)</w:t>
            </w:r>
          </w:p>
        </w:tc>
      </w:tr>
      <w:tr w:rsidR="00EF1D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87 абзац 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66 ч.4 абзац 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91 ч.1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87 абзац 1(участники несут риск убытков…)</w:t>
            </w:r>
          </w:p>
        </w:tc>
      </w:tr>
      <w:tr w:rsidR="00EF1D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ответственностью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95 ч.1 (первое предложение)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66 ч.4 абзац 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91 ч.1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95 ч.1 (участники солидарно несут…)</w:t>
            </w:r>
          </w:p>
        </w:tc>
      </w:tr>
      <w:tr w:rsidR="00EF1D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</w:p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открытое АО</w:t>
            </w:r>
          </w:p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закрытое АО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96 ч.1 абзац 1; ст. 97 ч.1, ч.2 абзацы 1-2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66 ч.4 абзац 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 ч.1 (первое предложение), ч.2 (первое предложение), ч.3 абзац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96 ч.1 (участники АО (акционеры) не отвечают…)</w:t>
            </w:r>
          </w:p>
        </w:tc>
      </w:tr>
      <w:tr w:rsidR="00EF1D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Производственный кооператив (артель)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107 ч.1 (первое предложение)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107 ч.1 (из первого и второго предложений)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110 ч.1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ч.2</w:t>
            </w:r>
          </w:p>
        </w:tc>
      </w:tr>
      <w:tr w:rsidR="00EF1DF4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и муниципальное унитарное предприятие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113 ч.1 абз.1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Учредителями могут быть только государственные или муниципальные органы. Учредители являются собственниками имущества унитарного предприятия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113 ч.4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1DF4" w:rsidRDefault="00C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Ст.114 п.7 (первое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жение), ст. 115 ч.5</w:t>
            </w:r>
          </w:p>
        </w:tc>
      </w:tr>
    </w:tbl>
    <w:p w:rsidR="00EF1DF4" w:rsidRDefault="00EF1D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F1DF4" w:rsidRDefault="00CC18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Устав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изучить законы Российской Федерации (РФ), определяющие правовые и социальные основы организации и деятельности предприятий; уяснить перечень положений, включаемых в устав предприятия.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цель работы, теоретическую часть. 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главное.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Сделать выводы.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ответы на контрольные вопросы.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 по своему выбору описывает какое-то одно предприятие. Учредительными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документами организации являются устав предприятия, а также решение о его создании или договор учредителей. Устав предприятия – это документ, на основе которого действует предприятие. Устав утверждается учредителем (учредителями) предприятия. На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енном и муниципальном предприятии, а также предприятии смешанной формы собственности, в имуществе которого доля государства или местного органа власти составляет более 50%, устав утверждается учредителем (учредителями) совместно с трудовым коллективом (ТК)</w:t>
      </w:r>
      <w:r>
        <w:rPr>
          <w:rFonts w:ascii="Times New Roman" w:eastAsia="Times New Roman" w:hAnsi="Times New Roman" w:cs="Times New Roman"/>
          <w:sz w:val="24"/>
          <w:szCs w:val="24"/>
        </w:rPr>
        <w:t>. В уставе предприятия определяются: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организационно-правовая форма предприятия;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название;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адрес местонахождения;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предмет и цели деятельности;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его органы управления и контроля;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порядок образования имущества предприятия;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порядок распределения п</w:t>
      </w:r>
      <w:r>
        <w:rPr>
          <w:rFonts w:ascii="Times New Roman" w:eastAsia="Times New Roman" w:hAnsi="Times New Roman" w:cs="Times New Roman"/>
          <w:sz w:val="24"/>
          <w:szCs w:val="24"/>
        </w:rPr>
        <w:t>рибыли, образования фондов предприятия;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условия реорганизации и ликвидации предприятии.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устав могут включаться также иные, не противоречащие законодательству положения, связанные с особенностями деятельности предприятия. Предприятие считается </w:t>
      </w:r>
      <w:r>
        <w:rPr>
          <w:rFonts w:ascii="Times New Roman" w:eastAsia="Times New Roman" w:hAnsi="Times New Roman" w:cs="Times New Roman"/>
          <w:sz w:val="24"/>
          <w:szCs w:val="24"/>
        </w:rPr>
        <w:t>учреждённым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приобретает права юридического лица со дня государственной регистрации. Студент выступает в роли одного из учредителей предприятия, для которого он разрабатывает устав. Рекомендуется изучить, помимо лекционного материала, дополнительную литер</w:t>
      </w:r>
      <w:r>
        <w:rPr>
          <w:rFonts w:ascii="Times New Roman" w:eastAsia="Times New Roman" w:hAnsi="Times New Roman" w:cs="Times New Roman"/>
          <w:sz w:val="24"/>
          <w:szCs w:val="24"/>
        </w:rPr>
        <w:t>атуру и, прежде всего, ГК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DF4" w:rsidRDefault="00EF1D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F1DF4" w:rsidRDefault="00CC18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бизнес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теоретический материал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цель работы, теоретическую часть. 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главное.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Сделать выводы.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eastAsia="Times New Roman" w:hAnsi="Times New Roman" w:cs="Times New Roman"/>
          <w:sz w:val="24"/>
          <w:szCs w:val="24"/>
        </w:rPr>
        <w:t>ответы на контрольные вопросы.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EF1DF4" w:rsidRDefault="00CC18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таблицу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и преимущества малых предприятий</w:t>
      </w:r>
    </w:p>
    <w:p w:rsidR="00EF1DF4" w:rsidRDefault="00CC18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таблицы «Классификация затрат</w:t>
      </w:r>
    </w:p>
    <w:p w:rsidR="00EF1DF4" w:rsidRDefault="00CC18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Банковская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система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теоретический материал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Методические указания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практическому занятию: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цель работы, теоретическую часть. 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главное.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Сделать выводы.</w:t>
      </w:r>
    </w:p>
    <w:p w:rsidR="00EF1DF4" w:rsidRDefault="00CC18C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ответы на контрольные вопросы.</w:t>
      </w:r>
    </w:p>
    <w:p w:rsidR="00EF1DF4" w:rsidRDefault="00CC18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EF1DF4" w:rsidRDefault="00CC18CF">
      <w:pPr>
        <w:numPr>
          <w:ilvl w:val="0"/>
          <w:numId w:val="5"/>
        </w:numP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составление таблицы «Банковская система»</w:t>
      </w:r>
    </w:p>
    <w:p w:rsidR="00EF1DF4" w:rsidRDefault="00CC18CF">
      <w:pPr>
        <w:numPr>
          <w:ilvl w:val="0"/>
          <w:numId w:val="5"/>
        </w:num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разработка схемы банковского кредитования</w:t>
      </w:r>
    </w:p>
    <w:p w:rsidR="00EF1DF4" w:rsidRDefault="00EF1D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практических и лабораторных работ.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"</w:t>
      </w:r>
      <w:r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"Практическая работа выполнена в полном объеме с соблюдением необходимой последовательности. Обучающиеся работали полностью самостоятельно: подобрали необходимые для выполнения </w:t>
      </w:r>
      <w:r>
        <w:rPr>
          <w:rFonts w:ascii="Times New Roman" w:hAnsi="Times New Roman" w:cs="Times New Roman"/>
          <w:sz w:val="28"/>
          <w:szCs w:val="28"/>
        </w:rPr>
        <w:t>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оформлена аккуратно, в оптимальной для фиксации результатов форме.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"</w:t>
      </w:r>
      <w:r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"Прак</w:t>
      </w:r>
      <w:r>
        <w:rPr>
          <w:rFonts w:ascii="Times New Roman" w:hAnsi="Times New Roman" w:cs="Times New Roman"/>
          <w:sz w:val="28"/>
          <w:szCs w:val="28"/>
        </w:rPr>
        <w:t>тическая или самостоятельная работа выполнена студентами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плана, последова</w:t>
      </w:r>
      <w:r>
        <w:rPr>
          <w:rFonts w:ascii="Times New Roman" w:hAnsi="Times New Roman" w:cs="Times New Roman"/>
          <w:sz w:val="28"/>
          <w:szCs w:val="28"/>
        </w:rPr>
        <w:t>тельность выполняемых заданий, ответы на вопросы). Использованы указанные источники знаний.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Допускаются неточности и небреж</w:t>
      </w:r>
      <w:r>
        <w:rPr>
          <w:rFonts w:ascii="Times New Roman" w:hAnsi="Times New Roman" w:cs="Times New Roman"/>
          <w:sz w:val="28"/>
          <w:szCs w:val="28"/>
        </w:rPr>
        <w:t>ность в оформлении результатов работы.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"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>"Практическая работа выполнена и оформлена с помощью преподавателя. На выполнение работы затрачено много времени (дана возможность доделать работу дома). Студент показал знания 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материала, но испытывали затруднения при самостоятельной работе со статистическими материалами.</w:t>
      </w:r>
    </w:p>
    <w:p w:rsidR="00EF1DF4" w:rsidRDefault="00EF1DF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EF1DF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F1DF4" w:rsidRDefault="00EF1D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CC18CF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EF1DF4" w:rsidRDefault="00EF1DF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по дисциплине Введение в специальность проводится в форме дифференцированного </w:t>
      </w:r>
      <w:r>
        <w:rPr>
          <w:rFonts w:ascii="Times New Roman" w:hAnsi="Times New Roman" w:cs="Times New Roman"/>
          <w:bCs/>
          <w:sz w:val="28"/>
          <w:szCs w:val="28"/>
        </w:rPr>
        <w:t>зачёта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проведении промежуточной аттестации используются следующие оценочные средства: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вопросы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зачёту </w:t>
      </w:r>
    </w:p>
    <w:p w:rsidR="00EF1DF4" w:rsidRDefault="00CC18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тем </w:t>
      </w:r>
      <w:r>
        <w:rPr>
          <w:rFonts w:ascii="Times New Roman" w:hAnsi="Times New Roman" w:cs="Times New Roman"/>
          <w:bCs/>
          <w:sz w:val="28"/>
          <w:szCs w:val="28"/>
        </w:rPr>
        <w:t>выдаётся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студентам не позднее,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чем за месяц до начала сессии. </w:t>
      </w:r>
    </w:p>
    <w:p w:rsidR="00EF1DF4" w:rsidRDefault="00CC18C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предпринимательства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предпринимательской деятельности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ОПФ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маркетинга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Субъекты и объекты управления.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Понятие менеджмента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Понятие бизнес-плана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Понятие и формы франчайзинга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Понятие финансов и финансовой системы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Финансирование бизнеса.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Наличный и безналичный расчёты</w:t>
      </w:r>
    </w:p>
    <w:p w:rsidR="00EF1DF4" w:rsidRDefault="00CC18CF">
      <w:pPr>
        <w:numPr>
          <w:ilvl w:val="0"/>
          <w:numId w:val="6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Сущность внешнеэкономической деятельности</w:t>
      </w:r>
    </w:p>
    <w:p w:rsidR="00EF1DF4" w:rsidRDefault="00CC18C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EF1DF4" w:rsidRDefault="00CC1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«отлично» выставляется студенту, если на вс</w:t>
      </w:r>
      <w:r>
        <w:rPr>
          <w:rFonts w:ascii="Times New Roman" w:hAnsi="Times New Roman" w:cs="Times New Roman"/>
          <w:sz w:val="28"/>
          <w:szCs w:val="28"/>
        </w:rPr>
        <w:t xml:space="preserve">е поставленные вопросы дан верный полный ответ; </w:t>
      </w:r>
    </w:p>
    <w:p w:rsidR="00EF1DF4" w:rsidRDefault="00CC1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«хорошо» выставляется студенту, если в одном из ответов на вопрос дан неверный ответ или если есть неточности при ответе на все вопросы; </w:t>
      </w:r>
    </w:p>
    <w:p w:rsidR="00EF1DF4" w:rsidRDefault="00CC1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студенту, если допущены ошибки при ответе на два вопроса или дан ответ на один вопрос; </w:t>
      </w:r>
    </w:p>
    <w:p w:rsidR="00EF1DF4" w:rsidRDefault="00CC1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нет верного ответа ни на один вопрос.</w:t>
      </w:r>
    </w:p>
    <w:p w:rsidR="00EF1DF4" w:rsidRDefault="00EF1D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F4" w:rsidRDefault="00CC18CF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F1DF4" w:rsidRDefault="00CC18CF">
      <w:pPr>
        <w:numPr>
          <w:ilvl w:val="0"/>
          <w:numId w:val="7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С.В. </w:t>
      </w:r>
      <w:r>
        <w:rPr>
          <w:rFonts w:ascii="Times New Roman" w:hAnsi="Times New Roman" w:cs="Times New Roman"/>
          <w:sz w:val="28"/>
          <w:szCs w:val="28"/>
        </w:rPr>
        <w:t>Экономика организации: учеб. для студ. учреждений сред. проф. образования/ С.В Соколова – 2-е изд., стер. – М: Издательский центр «Академия», 2017 – 176 с.</w:t>
      </w:r>
    </w:p>
    <w:p w:rsidR="00EF1DF4" w:rsidRDefault="00CC18CF">
      <w:pPr>
        <w:numPr>
          <w:ilvl w:val="0"/>
          <w:numId w:val="7"/>
        </w:numPr>
        <w:spacing w:after="0" w:line="360" w:lineRule="auto"/>
        <w:ind w:firstLine="567"/>
        <w:rPr>
          <w:sz w:val="28"/>
          <w:szCs w:val="28"/>
        </w:rPr>
      </w:pPr>
      <w:r w:rsidRPr="00B66589">
        <w:rPr>
          <w:rFonts w:ascii="Times New Roman" w:hAnsi="Times New Roman" w:cs="Times New Roman"/>
          <w:sz w:val="28"/>
          <w:szCs w:val="28"/>
          <w:lang w:eastAsia="zh-CN"/>
        </w:rPr>
        <w:t>Череданова Л.Н. Основы экономики и предпринимательства: Учеб. Для нач. проф. Образования / Людмила Н</w:t>
      </w:r>
      <w:r w:rsidRPr="00B66589">
        <w:rPr>
          <w:rFonts w:ascii="Times New Roman" w:hAnsi="Times New Roman" w:cs="Times New Roman"/>
          <w:sz w:val="28"/>
          <w:szCs w:val="28"/>
          <w:lang w:eastAsia="zh-CN"/>
        </w:rPr>
        <w:t>иколаевна Череданова. – 2-е изд., стер. – М.: Издательский центр «Академия», 200</w:t>
      </w:r>
      <w:r>
        <w:rPr>
          <w:rFonts w:ascii="Times New Roman" w:hAnsi="Times New Roman" w:cs="Times New Roman"/>
          <w:sz w:val="28"/>
          <w:szCs w:val="28"/>
          <w:lang w:eastAsia="zh-CN"/>
        </w:rPr>
        <w:t>18</w:t>
      </w:r>
      <w:bookmarkStart w:id="0" w:name="_GoBack"/>
      <w:bookmarkEnd w:id="0"/>
      <w:r w:rsidRPr="00B66589">
        <w:rPr>
          <w:rFonts w:ascii="Times New Roman" w:hAnsi="Times New Roman" w:cs="Times New Roman"/>
          <w:sz w:val="28"/>
          <w:szCs w:val="28"/>
          <w:lang w:eastAsia="zh-CN"/>
        </w:rPr>
        <w:t xml:space="preserve">. – 176 с. </w:t>
      </w:r>
    </w:p>
    <w:p w:rsidR="00EF1DF4" w:rsidRDefault="00EF1DF4">
      <w:pPr>
        <w:spacing w:after="0" w:line="360" w:lineRule="auto"/>
        <w:rPr>
          <w:sz w:val="28"/>
          <w:szCs w:val="28"/>
        </w:rPr>
      </w:pPr>
    </w:p>
    <w:p w:rsidR="00EF1DF4" w:rsidRDefault="00EF1DF4">
      <w:pPr>
        <w:spacing w:after="0" w:line="360" w:lineRule="auto"/>
        <w:ind w:firstLine="567"/>
        <w:rPr>
          <w:sz w:val="28"/>
          <w:szCs w:val="28"/>
        </w:rPr>
      </w:pPr>
    </w:p>
    <w:sectPr w:rsidR="00EF1DF4" w:rsidSect="00EF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CF" w:rsidRDefault="00CC18CF">
      <w:pPr>
        <w:spacing w:line="240" w:lineRule="auto"/>
      </w:pPr>
      <w:r>
        <w:separator/>
      </w:r>
    </w:p>
  </w:endnote>
  <w:endnote w:type="continuationSeparator" w:id="1">
    <w:p w:rsidR="00CC18CF" w:rsidRDefault="00CC1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CF" w:rsidRDefault="00CC18CF">
      <w:pPr>
        <w:spacing w:after="0" w:line="240" w:lineRule="auto"/>
      </w:pPr>
      <w:r>
        <w:separator/>
      </w:r>
    </w:p>
  </w:footnote>
  <w:footnote w:type="continuationSeparator" w:id="1">
    <w:p w:rsidR="00CC18CF" w:rsidRDefault="00CC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CAA72F"/>
    <w:multiLevelType w:val="singleLevel"/>
    <w:tmpl w:val="99CAA7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6A34CF"/>
    <w:multiLevelType w:val="singleLevel"/>
    <w:tmpl w:val="A56A34CF"/>
    <w:lvl w:ilvl="0">
      <w:start w:val="1"/>
      <w:numFmt w:val="decimal"/>
      <w:suff w:val="space"/>
      <w:lvlText w:val="%1."/>
      <w:lvlJc w:val="left"/>
    </w:lvl>
  </w:abstractNum>
  <w:abstractNum w:abstractNumId="2">
    <w:nsid w:val="17E402F7"/>
    <w:multiLevelType w:val="singleLevel"/>
    <w:tmpl w:val="17E402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9C55DDB"/>
    <w:multiLevelType w:val="singleLevel"/>
    <w:tmpl w:val="19C55DDB"/>
    <w:lvl w:ilvl="0">
      <w:start w:val="1"/>
      <w:numFmt w:val="decimal"/>
      <w:suff w:val="space"/>
      <w:lvlText w:val="%1."/>
      <w:lvlJc w:val="left"/>
    </w:lvl>
  </w:abstractNum>
  <w:abstractNum w:abstractNumId="4">
    <w:nsid w:val="238028CE"/>
    <w:multiLevelType w:val="multilevel"/>
    <w:tmpl w:val="238028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5213DD6"/>
    <w:multiLevelType w:val="multilevel"/>
    <w:tmpl w:val="45213D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6">
    <w:nsid w:val="68747AFA"/>
    <w:multiLevelType w:val="multilevel"/>
    <w:tmpl w:val="68747AFA"/>
    <w:lvl w:ilvl="0">
      <w:start w:val="3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631AE"/>
    <w:rsid w:val="00010154"/>
    <w:rsid w:val="00065A6B"/>
    <w:rsid w:val="00087F7F"/>
    <w:rsid w:val="000A720F"/>
    <w:rsid w:val="000B7890"/>
    <w:rsid w:val="00192133"/>
    <w:rsid w:val="001D14E5"/>
    <w:rsid w:val="001F6839"/>
    <w:rsid w:val="00206097"/>
    <w:rsid w:val="002C727F"/>
    <w:rsid w:val="004A5D6D"/>
    <w:rsid w:val="00501892"/>
    <w:rsid w:val="00506511"/>
    <w:rsid w:val="006318E2"/>
    <w:rsid w:val="006358C3"/>
    <w:rsid w:val="0069575D"/>
    <w:rsid w:val="006B00E3"/>
    <w:rsid w:val="006E6124"/>
    <w:rsid w:val="006F1781"/>
    <w:rsid w:val="00706526"/>
    <w:rsid w:val="00712017"/>
    <w:rsid w:val="0076374C"/>
    <w:rsid w:val="007B04E9"/>
    <w:rsid w:val="00B631AE"/>
    <w:rsid w:val="00B66589"/>
    <w:rsid w:val="00C6163A"/>
    <w:rsid w:val="00C63F07"/>
    <w:rsid w:val="00C64947"/>
    <w:rsid w:val="00CC18CF"/>
    <w:rsid w:val="00EC5B08"/>
    <w:rsid w:val="00EF1DF4"/>
    <w:rsid w:val="00FC610D"/>
    <w:rsid w:val="00FD76D5"/>
    <w:rsid w:val="00FE5D91"/>
    <w:rsid w:val="6901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F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EF1DF4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59"/>
    <w:rsid w:val="00EF1D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F64A936-5D04-4B37-9463-411ABD791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1894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2019-10-22T09:24:00Z</dcterms:created>
  <dcterms:modified xsi:type="dcterms:W3CDTF">2021-02-23T08:52:00Z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