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41706A3C" w:rsidR="00A84CB7" w:rsidRPr="00DA6564" w:rsidRDefault="00D445FF"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15.01.05 Сварщик (ручной и частично механизированной сварки (наплавки)</w:t>
      </w:r>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77777777"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roofErr w:type="spellStart"/>
      <w:r w:rsidRPr="00D8490C">
        <w:rPr>
          <w:rFonts w:ascii="Times New Roman" w:eastAsia="Courier New" w:hAnsi="Times New Roman" w:cs="Times New Roman"/>
          <w:bCs/>
          <w:color w:val="000000"/>
          <w:sz w:val="28"/>
          <w:szCs w:val="28"/>
          <w:lang w:eastAsia="ru-RU"/>
        </w:rPr>
        <w:t>пгт</w:t>
      </w:r>
      <w:proofErr w:type="spellEnd"/>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 2023</w:t>
      </w:r>
    </w:p>
    <w:p w14:paraId="45D4E434" w14:textId="292A637B"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00D445FF" w:rsidRPr="00D445FF">
        <w:rPr>
          <w:rFonts w:ascii="Times New Roman" w:eastAsia="Courier New" w:hAnsi="Times New Roman" w:cs="Times New Roman"/>
          <w:bCs/>
          <w:color w:val="000000"/>
          <w:sz w:val="28"/>
          <w:szCs w:val="28"/>
          <w:lang w:eastAsia="ru-RU"/>
        </w:rPr>
        <w:t>15.01.05 Сварщик (ручной и частично механизированной сварки (наплавки)</w:t>
      </w:r>
      <w:r w:rsidR="006B5600" w:rsidRPr="00B11453">
        <w:rPr>
          <w:rFonts w:ascii="Times New Roman" w:eastAsia="Courier New" w:hAnsi="Times New Roman"/>
          <w:bCs/>
          <w:color w:val="000000"/>
          <w:sz w:val="28"/>
          <w:szCs w:val="28"/>
        </w:rPr>
        <w:t>,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w:t>
      </w:r>
      <w:r w:rsidR="00D445FF">
        <w:rPr>
          <w:rFonts w:ascii="Times New Roman" w:eastAsia="Courier New" w:hAnsi="Times New Roman"/>
          <w:bCs/>
          <w:color w:val="000000"/>
          <w:sz w:val="28"/>
          <w:szCs w:val="28"/>
        </w:rPr>
        <w:t>ой Федерации от 24 февраля 2016 года.</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075"/>
        <w:gridCol w:w="1270"/>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6E12E6FC" w:rsidR="00D937F2" w:rsidRDefault="00790887" w:rsidP="001D0717">
      <w:pPr>
        <w:pStyle w:val="Default"/>
        <w:ind w:firstLine="709"/>
        <w:jc w:val="both"/>
        <w:rPr>
          <w:color w:val="auto"/>
          <w:sz w:val="28"/>
          <w:szCs w:val="28"/>
        </w:rPr>
      </w:pPr>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r w:rsidR="00D937F2" w:rsidRPr="00D937F2">
        <w:rPr>
          <w:color w:val="auto"/>
          <w:sz w:val="28"/>
          <w:szCs w:val="28"/>
        </w:rPr>
        <w:t xml:space="preserve"> </w:t>
      </w:r>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10412F16" w:rsidR="004D1D96" w:rsidRPr="004D1D96" w:rsidRDefault="004D1D96" w:rsidP="001D0717">
      <w:pPr>
        <w:pStyle w:val="Default"/>
        <w:ind w:firstLine="709"/>
        <w:jc w:val="both"/>
        <w:rPr>
          <w:color w:val="auto"/>
          <w:sz w:val="28"/>
          <w:szCs w:val="28"/>
        </w:rPr>
      </w:pPr>
      <w:r w:rsidRPr="004D1D96">
        <w:rPr>
          <w:color w:val="auto"/>
          <w:sz w:val="28"/>
          <w:szCs w:val="28"/>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w:t>
      </w:r>
      <w:r w:rsidR="00D445FF" w:rsidRPr="00D445FF">
        <w:rPr>
          <w:color w:val="auto"/>
          <w:sz w:val="28"/>
          <w:szCs w:val="28"/>
        </w:rPr>
        <w:t>15.01.05 Сварщик (ручной и частично механизированной сварки (наплавки)</w:t>
      </w:r>
    </w:p>
    <w:p w14:paraId="7F622680" w14:textId="406219EB" w:rsidR="004D1D96" w:rsidRDefault="004D1D96" w:rsidP="001D0717">
      <w:pPr>
        <w:pStyle w:val="Default"/>
        <w:ind w:firstLine="709"/>
        <w:jc w:val="both"/>
        <w:rPr>
          <w:color w:val="auto"/>
          <w:sz w:val="28"/>
          <w:szCs w:val="28"/>
        </w:rPr>
      </w:pPr>
      <w:r w:rsidRPr="004D1D96">
        <w:rPr>
          <w:color w:val="auto"/>
          <w:sz w:val="28"/>
          <w:szCs w:val="28"/>
        </w:rPr>
        <w:t>Особое значение дисциплина имеет при формировании и развитии ОК 01, ОК 02, ОК 03, ОК</w:t>
      </w:r>
      <w:r>
        <w:rPr>
          <w:color w:val="auto"/>
          <w:sz w:val="28"/>
          <w:szCs w:val="28"/>
        </w:rPr>
        <w:t xml:space="preserve"> 04, ОК 05, ОК 06, </w:t>
      </w:r>
      <w:r w:rsidR="00D445FF">
        <w:rPr>
          <w:color w:val="auto"/>
          <w:sz w:val="28"/>
          <w:szCs w:val="28"/>
        </w:rPr>
        <w:t>ОК 08, ОК 09</w:t>
      </w:r>
      <w:proofErr w:type="gramStart"/>
      <w:r w:rsidR="00D445FF">
        <w:rPr>
          <w:color w:val="auto"/>
          <w:sz w:val="28"/>
          <w:szCs w:val="28"/>
        </w:rPr>
        <w:t xml:space="preserve">, </w:t>
      </w:r>
      <w:r>
        <w:rPr>
          <w:color w:val="auto"/>
          <w:sz w:val="28"/>
          <w:szCs w:val="28"/>
        </w:rPr>
        <w:t>.</w:t>
      </w:r>
      <w:proofErr w:type="gramEnd"/>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082"/>
        <w:gridCol w:w="8263"/>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bl>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 xml:space="preserve">основные понятия финансовой грамотности и основные </w:t>
      </w:r>
      <w:r w:rsidR="009B5493" w:rsidRPr="006136CA">
        <w:rPr>
          <w:rFonts w:ascii="Times New Roman" w:hAnsi="Times New Roman"/>
          <w:color w:val="000000"/>
          <w:position w:val="-1"/>
          <w:sz w:val="28"/>
          <w:szCs w:val="28"/>
        </w:rPr>
        <w:lastRenderedPageBreak/>
        <w:t>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З2 -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З4</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 xml:space="preserve">сущность понятий «депозит» и «кредит», их виды и </w:t>
      </w:r>
      <w:proofErr w:type="spellStart"/>
      <w:proofErr w:type="gramStart"/>
      <w:r w:rsidR="009B5493" w:rsidRPr="006136CA">
        <w:rPr>
          <w:rFonts w:ascii="Times New Roman" w:hAnsi="Times New Roman"/>
          <w:color w:val="000000"/>
          <w:position w:val="-1"/>
          <w:sz w:val="28"/>
          <w:szCs w:val="28"/>
        </w:rPr>
        <w:t>принципы;схемы</w:t>
      </w:r>
      <w:proofErr w:type="spellEnd"/>
      <w:proofErr w:type="gramEnd"/>
      <w:r w:rsidR="009B5493" w:rsidRPr="006136CA">
        <w:rPr>
          <w:rFonts w:ascii="Times New Roman" w:hAnsi="Times New Roman"/>
          <w:color w:val="000000"/>
          <w:position w:val="-1"/>
          <w:sz w:val="28"/>
          <w:szCs w:val="28"/>
        </w:rPr>
        <w:t xml:space="preserve">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З6</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З7</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З9</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У1</w:t>
      </w:r>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У2 -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У4 -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У6 -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У7 -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У9 -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составлять обоснование бизнес-идеи;</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5"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2961"/>
        <w:gridCol w:w="4931"/>
      </w:tblGrid>
      <w:tr w:rsidR="00713340" w:rsidRPr="00713340" w14:paraId="37A08C5A" w14:textId="77777777" w:rsidTr="00713340">
        <w:tc>
          <w:tcPr>
            <w:tcW w:w="1453" w:type="dxa"/>
          </w:tcPr>
          <w:bookmarkEnd w:id="5"/>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lastRenderedPageBreak/>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713340">
              <w:rPr>
                <w:rFonts w:ascii="Times New Roman" w:eastAsia="Calibri" w:hAnsi="Times New Roman" w:cs="Times New Roman"/>
                <w:position w:val="-1"/>
              </w:rPr>
              <w:lastRenderedPageBreak/>
              <w:t>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lastRenderedPageBreak/>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w:t>
            </w:r>
            <w:r w:rsidRPr="00713340">
              <w:rPr>
                <w:rFonts w:ascii="Times New Roman" w:eastAsia="Calibri" w:hAnsi="Times New Roman" w:cs="Times New Roman"/>
                <w:color w:val="000000"/>
                <w:position w:val="-1"/>
              </w:rPr>
              <w:lastRenderedPageBreak/>
              <w:t xml:space="preserve">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ОК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Производить ремонт, 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8"/>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6" w:name="_Hlk127007025"/>
      <w:r w:rsidRPr="00AD2DF9">
        <w:rPr>
          <w:rFonts w:ascii="Times New Roman" w:eastAsia="Courier New" w:hAnsi="Times New Roman" w:cs="Times New Roman"/>
          <w:b/>
          <w:color w:val="000000"/>
          <w:sz w:val="28"/>
          <w:szCs w:val="28"/>
          <w:lang w:eastAsia="ru-RU"/>
        </w:rPr>
        <w:t xml:space="preserve">Объём </w:t>
      </w:r>
      <w:bookmarkStart w:id="7" w:name="_Hlk127006977"/>
      <w:r w:rsidRPr="00AD2DF9">
        <w:rPr>
          <w:rFonts w:ascii="Times New Roman" w:eastAsia="Courier New" w:hAnsi="Times New Roman" w:cs="Times New Roman"/>
          <w:b/>
          <w:color w:val="000000"/>
          <w:sz w:val="28"/>
          <w:szCs w:val="28"/>
          <w:lang w:eastAsia="ru-RU"/>
        </w:rPr>
        <w:t>дисциплины</w:t>
      </w:r>
      <w:bookmarkEnd w:id="6"/>
      <w:r w:rsidRPr="00AD2DF9">
        <w:rPr>
          <w:rFonts w:ascii="Times New Roman" w:eastAsia="Courier New" w:hAnsi="Times New Roman" w:cs="Times New Roman"/>
          <w:b/>
          <w:color w:val="000000"/>
          <w:sz w:val="28"/>
          <w:szCs w:val="28"/>
          <w:lang w:eastAsia="ru-RU"/>
        </w:rPr>
        <w:t xml:space="preserve"> </w:t>
      </w:r>
      <w:bookmarkStart w:id="8" w:name="_Hlk127019044"/>
      <w:bookmarkEnd w:id="7"/>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8"/>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9"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3994DFB9"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r w:rsidR="00AD2DF9"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277C5BBD"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20</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68D81BF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7" w:type="dxa"/>
          </w:tcPr>
          <w:p w14:paraId="184E3F4E" w14:textId="024B33DB" w:rsidR="00AD2DF9" w:rsidRPr="00AD2DF9" w:rsidRDefault="00944712"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5</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64736274" w:rsidR="00AD2DF9" w:rsidRPr="00AD2DF9" w:rsidRDefault="00944712"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20</w:t>
            </w: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9"/>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572"/>
        <w:gridCol w:w="1271"/>
        <w:gridCol w:w="4624"/>
        <w:gridCol w:w="1027"/>
        <w:gridCol w:w="787"/>
        <w:gridCol w:w="915"/>
        <w:gridCol w:w="1175"/>
        <w:gridCol w:w="806"/>
        <w:gridCol w:w="655"/>
        <w:gridCol w:w="642"/>
        <w:gridCol w:w="966"/>
        <w:gridCol w:w="1114"/>
        <w:gridCol w:w="661"/>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ОК</w:t>
            </w:r>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 xml:space="preserve">Основные законодательные акты, регламентирующие вопросы финансовой грамотности в Российской </w:t>
            </w:r>
            <w:proofErr w:type="spellStart"/>
            <w:r w:rsidRPr="004F2CD6">
              <w:rPr>
                <w:rFonts w:ascii="Times New Roman" w:eastAsia="Courier New" w:hAnsi="Times New Roman" w:cs="Times New Roman"/>
                <w:color w:val="000000"/>
                <w:sz w:val="24"/>
                <w:szCs w:val="24"/>
                <w:lang w:eastAsia="ru-RU"/>
              </w:rPr>
              <w:t>Федерации.Международный</w:t>
            </w:r>
            <w:proofErr w:type="spellEnd"/>
            <w:r w:rsidRPr="004F2CD6">
              <w:rPr>
                <w:rFonts w:ascii="Times New Roman" w:eastAsia="Courier New" w:hAnsi="Times New Roman" w:cs="Times New Roman"/>
                <w:color w:val="000000"/>
                <w:sz w:val="24"/>
                <w:szCs w:val="24"/>
                <w:lang w:eastAsia="ru-RU"/>
              </w:rPr>
              <w:t xml:space="preserve">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1822D" w14:textId="61772DB3" w:rsidR="004F2CD6" w:rsidRPr="00EB69E1" w:rsidRDefault="004F2CD6"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З4</w:t>
            </w:r>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У4</w:t>
            </w:r>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У6</w:t>
            </w:r>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З4</w:t>
            </w:r>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У4</w:t>
            </w:r>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У6</w:t>
            </w:r>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Решение кейса «Выявление целесообразности кредитования в банке на основе расчета аннуитетных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З4</w:t>
            </w:r>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2E518A3" w14:textId="327EB072" w:rsidR="00DA6564" w:rsidRPr="00EB69E1" w:rsidRDefault="00DA6564"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w:t>
            </w:r>
            <w:proofErr w:type="spellStart"/>
            <w:r w:rsidRPr="00344932">
              <w:rPr>
                <w:rFonts w:ascii="Times New Roman" w:eastAsia="Courier New" w:hAnsi="Times New Roman" w:cs="Times New Roman"/>
                <w:color w:val="000000"/>
                <w:sz w:val="24"/>
                <w:szCs w:val="24"/>
                <w:lang w:eastAsia="ru-RU"/>
              </w:rPr>
              <w:t>Расчетно</w:t>
            </w:r>
            <w:proofErr w:type="spellEnd"/>
            <w:r w:rsidRPr="00344932">
              <w:rPr>
                <w:rFonts w:ascii="Times New Roman" w:eastAsia="Courier New" w:hAnsi="Times New Roman" w:cs="Times New Roman"/>
                <w:color w:val="000000"/>
                <w:sz w:val="24"/>
                <w:szCs w:val="24"/>
                <w:lang w:eastAsia="ru-RU"/>
              </w:rPr>
              <w:t xml:space="preserve">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 xml:space="preserve">твляется по желанию обучающихся, </w:t>
            </w:r>
            <w:proofErr w:type="spellStart"/>
            <w:r w:rsidR="00D101AE">
              <w:rPr>
                <w:rFonts w:ascii="Times New Roman" w:eastAsia="Courier New" w:hAnsi="Times New Roman" w:cs="Times New Roman"/>
                <w:color w:val="000000"/>
                <w:sz w:val="24"/>
                <w:szCs w:val="24"/>
                <w:lang w:eastAsia="ru-RU"/>
              </w:rPr>
              <w:t>согластно</w:t>
            </w:r>
            <w:proofErr w:type="spellEnd"/>
            <w:r w:rsidR="00D101AE">
              <w:rPr>
                <w:rFonts w:ascii="Times New Roman" w:eastAsia="Courier New" w:hAnsi="Times New Roman" w:cs="Times New Roman"/>
                <w:color w:val="000000"/>
                <w:sz w:val="24"/>
                <w:szCs w:val="24"/>
                <w:lang w:eastAsia="ru-RU"/>
              </w:rPr>
              <w:t xml:space="preserve">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З4</w:t>
            </w:r>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У4</w:t>
            </w:r>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78565F36" w14:textId="4143CF5E" w:rsidR="009B619E" w:rsidRPr="00EB69E1" w:rsidRDefault="009B619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475ECDD5" w14:textId="66C0A8EC" w:rsid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13 </w:t>
            </w:r>
            <w:r w:rsidR="00944712">
              <w:rPr>
                <w:rFonts w:ascii="Times New Roman" w:eastAsia="Courier New" w:hAnsi="Times New Roman" w:cs="Times New Roman"/>
                <w:color w:val="000000"/>
                <w:sz w:val="24"/>
                <w:szCs w:val="24"/>
                <w:lang w:eastAsia="ru-RU"/>
              </w:rPr>
              <w:t>–</w:t>
            </w:r>
            <w:r>
              <w:rPr>
                <w:rFonts w:ascii="Times New Roman" w:eastAsia="Courier New" w:hAnsi="Times New Roman" w:cs="Times New Roman"/>
                <w:color w:val="000000"/>
                <w:sz w:val="24"/>
                <w:szCs w:val="24"/>
                <w:lang w:eastAsia="ru-RU"/>
              </w:rPr>
              <w:t xml:space="preserve"> 14</w:t>
            </w:r>
          </w:p>
          <w:p w14:paraId="25B6895E" w14:textId="77777777" w:rsidR="00944712"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w:t>
            </w:r>
          </w:p>
          <w:p w14:paraId="796E48AF" w14:textId="081D5468" w:rsidR="00944712" w:rsidRPr="00DA6564" w:rsidRDefault="0094471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16</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320" w:type="pct"/>
          </w:tcPr>
          <w:p w14:paraId="6C373CAD" w14:textId="12E3F554" w:rsidR="00DA6564" w:rsidRPr="00DA6564"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236A7D8A" w:rsidR="00DA6564" w:rsidRPr="0083631B" w:rsidRDefault="00944712"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З6</w:t>
            </w:r>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З7</w:t>
            </w:r>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У9</w:t>
            </w:r>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627A8A16" w:rsidR="007B19FB" w:rsidRDefault="00944712" w:rsidP="00944712">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17- 18</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З9</w:t>
            </w:r>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У7</w:t>
            </w:r>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2F104C7D" w:rsidR="00815AD0"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19 - 20</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510BEA2B"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AABD314" w14:textId="54989FEE"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6DA9F70D" w:rsidR="00815AD0"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0570F6D" w14:textId="6F914130" w:rsidR="00815AD0" w:rsidRPr="00EB69E1" w:rsidRDefault="00815AD0"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00F51A6D" w14:textId="77777777" w:rsidTr="00854312">
        <w:trPr>
          <w:trHeight w:val="431"/>
        </w:trPr>
        <w:tc>
          <w:tcPr>
            <w:tcW w:w="261" w:type="pct"/>
          </w:tcPr>
          <w:p w14:paraId="4CB4AC96" w14:textId="5CA01479" w:rsidR="007B19FB" w:rsidRDefault="00B72379"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21 -22</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3CB9CA70" w:rsidR="00D25943"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23 - 24</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68C482C8"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8C5935D" w14:textId="47C91B7B"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2D2EC6FE" w:rsidR="00D25943"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2E7B3327" w14:textId="51DEE8AE" w:rsidR="00D25943" w:rsidRPr="00EB69E1" w:rsidRDefault="00D25943"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34C2B5EA" w14:textId="77777777" w:rsidTr="00854312">
        <w:trPr>
          <w:trHeight w:val="431"/>
        </w:trPr>
        <w:tc>
          <w:tcPr>
            <w:tcW w:w="261" w:type="pct"/>
          </w:tcPr>
          <w:p w14:paraId="2B5FB70F" w14:textId="6443A403" w:rsidR="007B19FB"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p w14:paraId="569D1BE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27</w:t>
            </w:r>
          </w:p>
          <w:p w14:paraId="46EC008C" w14:textId="11F7EB0C"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28</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Способы 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320" w:type="pct"/>
          </w:tcPr>
          <w:p w14:paraId="6361D9AA" w14:textId="16275F4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5F0A5B5C" w:rsidR="007B19FB" w:rsidRPr="00DA6564"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З9</w:t>
            </w:r>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У2</w:t>
            </w:r>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У6</w:t>
            </w:r>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У7</w:t>
            </w:r>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2126DBA0"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29</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ОК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6FD995EF" w14:textId="55B977C6"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184B939" w14:textId="77777777" w:rsidTr="00854312">
        <w:trPr>
          <w:trHeight w:val="431"/>
        </w:trPr>
        <w:tc>
          <w:tcPr>
            <w:tcW w:w="261" w:type="pct"/>
          </w:tcPr>
          <w:p w14:paraId="02E1D53A" w14:textId="7BF6236A"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30</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7. Деловая игра «Разработка бизнес-идеи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У2</w:t>
            </w:r>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3BF1ACF3" w14:textId="4734DBBE" w:rsidR="00C04B25" w:rsidRPr="00EB69E1" w:rsidRDefault="00C04B25"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055F83CC" w14:textId="2204E8B5"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p w14:paraId="47D3C3A2"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33</w:t>
            </w:r>
          </w:p>
          <w:p w14:paraId="45231E9E" w14:textId="31602CD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34</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410CB181"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3D44FA95" w:rsidR="001E43B1" w:rsidRDefault="00B7237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B122B7B"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35 - 36</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1B058142" w14:textId="636FDE8B" w:rsidR="001E43B1" w:rsidRPr="00EB69E1" w:rsidRDefault="001E43B1"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6E230538" w14:textId="77777777" w:rsidTr="00854312">
        <w:trPr>
          <w:trHeight w:val="431"/>
        </w:trPr>
        <w:tc>
          <w:tcPr>
            <w:tcW w:w="261" w:type="pct"/>
          </w:tcPr>
          <w:p w14:paraId="4A014AD7" w14:textId="5CBFE9D0"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37</w:t>
            </w:r>
          </w:p>
          <w:p w14:paraId="6DE3F1CB" w14:textId="77777777" w:rsidR="00B72379"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38 </w:t>
            </w:r>
          </w:p>
          <w:p w14:paraId="30B0AF7F" w14:textId="4810B703" w:rsidR="001E43B1"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3160A392" w:rsidR="00C04B25" w:rsidRDefault="00B72379"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39- 40</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У2</w:t>
            </w:r>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У6</w:t>
            </w:r>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w:t>
      </w:r>
      <w:proofErr w:type="spellStart"/>
      <w:r w:rsidRPr="00756C07">
        <w:rPr>
          <w:rFonts w:ascii="Times New Roman" w:hAnsi="Times New Roman" w:cs="Times New Roman"/>
          <w:sz w:val="28"/>
          <w:szCs w:val="28"/>
        </w:rPr>
        <w:t>аудиовизуализации</w:t>
      </w:r>
      <w:proofErr w:type="spellEnd"/>
      <w:r w:rsidRPr="00756C07">
        <w:rPr>
          <w:rFonts w:ascii="Times New Roman" w:hAnsi="Times New Roman" w:cs="Times New Roman"/>
          <w:sz w:val="28"/>
          <w:szCs w:val="28"/>
        </w:rPr>
        <w:t>,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грамотности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1.Жданова, А.О. Финансовая грамотность: материалы для обучающихся / А.О. Жданова, Е.В. Савицкая.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2.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А.В. Основы финансовой грамотности: учебное пособие для среднего профессионального образования/ А.В. </w:t>
      </w:r>
      <w:proofErr w:type="spellStart"/>
      <w:r w:rsidRPr="00AB2454">
        <w:rPr>
          <w:rFonts w:ascii="Times New Roman" w:hAnsi="Times New Roman" w:cs="Times New Roman"/>
          <w:sz w:val="28"/>
          <w:szCs w:val="28"/>
        </w:rPr>
        <w:t>Фрицлер</w:t>
      </w:r>
      <w:proofErr w:type="spellEnd"/>
      <w:r w:rsidRPr="00AB2454">
        <w:rPr>
          <w:rFonts w:ascii="Times New Roman" w:hAnsi="Times New Roman" w:cs="Times New Roman"/>
          <w:sz w:val="28"/>
          <w:szCs w:val="28"/>
        </w:rPr>
        <w:t xml:space="preserve">, Е.А. Тарханова. – Москва: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9"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Bloomberg: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0"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proofErr w:type="spellStart"/>
        <w:r w:rsidRPr="008409FF">
          <w:rPr>
            <w:rFonts w:ascii="Times New Roman" w:hAnsi="Times New Roman"/>
            <w:bCs/>
            <w:color w:val="0563C1"/>
            <w:sz w:val="28"/>
            <w:szCs w:val="28"/>
            <w:u w:val="single"/>
            <w:lang w:val="en-US"/>
          </w:rPr>
          <w:t>bloomberg</w:t>
        </w:r>
        <w:proofErr w:type="spellEnd"/>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Московская </w:t>
      </w:r>
      <w:proofErr w:type="gramStart"/>
      <w:r w:rsidRPr="008409FF">
        <w:rPr>
          <w:rFonts w:ascii="Times New Roman" w:hAnsi="Times New Roman"/>
          <w:bCs/>
          <w:sz w:val="28"/>
          <w:szCs w:val="28"/>
        </w:rPr>
        <w:t>биржа :</w:t>
      </w:r>
      <w:proofErr w:type="gramEnd"/>
      <w:r w:rsidRPr="008409FF">
        <w:rPr>
          <w:rFonts w:ascii="Times New Roman" w:hAnsi="Times New Roman"/>
          <w:bCs/>
          <w:sz w:val="28"/>
          <w:szCs w:val="28"/>
        </w:rPr>
        <w:t xml:space="preserve"> официальный сайт. – Москва, 2021 - </w:t>
      </w:r>
      <w:bookmarkStart w:id="10" w:name="_Hlk78738085"/>
      <w:r w:rsidRPr="008409FF">
        <w:rPr>
          <w:rFonts w:ascii="Times New Roman" w:hAnsi="Times New Roman"/>
          <w:bCs/>
          <w:sz w:val="28"/>
          <w:szCs w:val="28"/>
        </w:rPr>
        <w:t xml:space="preserve">URL: </w:t>
      </w:r>
      <w:bookmarkEnd w:id="10"/>
      <w:r w:rsidRPr="008409FF">
        <w:rPr>
          <w:rFonts w:ascii="Times New Roman" w:hAnsi="Times New Roman"/>
          <w:bCs/>
          <w:sz w:val="28"/>
          <w:szCs w:val="28"/>
        </w:rPr>
        <w:t xml:space="preserve">moex.com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Правительство Российской </w:t>
      </w:r>
      <w:proofErr w:type="gramStart"/>
      <w:r w:rsidRPr="008409FF">
        <w:rPr>
          <w:rFonts w:ascii="Times New Roman" w:hAnsi="Times New Roman"/>
          <w:bCs/>
          <w:sz w:val="28"/>
          <w:szCs w:val="28"/>
        </w:rPr>
        <w:t>Федерации :</w:t>
      </w:r>
      <w:proofErr w:type="gramEnd"/>
      <w:r w:rsidRPr="008409FF">
        <w:rPr>
          <w:rFonts w:ascii="Times New Roman" w:hAnsi="Times New Roman"/>
          <w:bCs/>
          <w:sz w:val="28"/>
          <w:szCs w:val="28"/>
        </w:rPr>
        <w:t xml:space="preserve"> официальный сайт. – Москва. – Обновляется в течение суток. – URL: http://government.ru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Инвестиционный интернет-портал </w:t>
      </w:r>
      <w:proofErr w:type="spellStart"/>
      <w:proofErr w:type="gramStart"/>
      <w:r w:rsidRPr="008409FF">
        <w:rPr>
          <w:rFonts w:ascii="Times New Roman" w:hAnsi="Times New Roman"/>
          <w:bCs/>
          <w:sz w:val="28"/>
          <w:szCs w:val="28"/>
        </w:rPr>
        <w:t>Investfunds</w:t>
      </w:r>
      <w:proofErr w:type="spellEnd"/>
      <w:r w:rsidRPr="008409FF">
        <w:rPr>
          <w:rFonts w:ascii="Times New Roman" w:hAnsi="Times New Roman"/>
          <w:bCs/>
          <w:sz w:val="28"/>
          <w:szCs w:val="28"/>
        </w:rPr>
        <w:t xml:space="preserve"> :</w:t>
      </w:r>
      <w:proofErr w:type="gramEnd"/>
      <w:r w:rsidRPr="008409FF">
        <w:rPr>
          <w:rFonts w:ascii="Times New Roman" w:hAnsi="Times New Roman"/>
          <w:bCs/>
          <w:sz w:val="28"/>
          <w:szCs w:val="28"/>
        </w:rPr>
        <w:t xml:space="preserve"> [сайт]. – Москва, 2021, URL: https://investfunds.ru/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Экономический факультет </w:t>
      </w:r>
      <w:proofErr w:type="gramStart"/>
      <w:r w:rsidRPr="008409FF">
        <w:rPr>
          <w:rFonts w:ascii="Times New Roman" w:hAnsi="Times New Roman"/>
          <w:bCs/>
          <w:sz w:val="28"/>
          <w:szCs w:val="28"/>
        </w:rPr>
        <w:t>МГУ :</w:t>
      </w:r>
      <w:proofErr w:type="gramEnd"/>
      <w:r w:rsidRPr="008409FF">
        <w:rPr>
          <w:rFonts w:ascii="Times New Roman" w:hAnsi="Times New Roman"/>
          <w:bCs/>
          <w:sz w:val="28"/>
          <w:szCs w:val="28"/>
        </w:rPr>
        <w:t xml:space="preserve"> [сайт]. – 2021. - URL: https://finuch.ru/(дата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 xml:space="preserve">Центральный банк России: [сайт]. – 2021. - URL: https://fincult.info/ (дата обращения: 27.07.2021). - </w:t>
      </w:r>
      <w:proofErr w:type="gramStart"/>
      <w:r w:rsidRPr="008409FF">
        <w:rPr>
          <w:rFonts w:ascii="Times New Roman" w:hAnsi="Times New Roman"/>
          <w:bCs/>
          <w:sz w:val="28"/>
          <w:szCs w:val="28"/>
        </w:rPr>
        <w:t>Текст :</w:t>
      </w:r>
      <w:proofErr w:type="gramEnd"/>
      <w:r w:rsidRPr="008409FF">
        <w:rPr>
          <w:rFonts w:ascii="Times New Roman" w:hAnsi="Times New Roman"/>
          <w:bCs/>
          <w:sz w:val="28"/>
          <w:szCs w:val="28"/>
        </w:rPr>
        <w:t xml:space="preserve">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1.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xml:space="preserve">, А. А. Основы </w:t>
      </w:r>
      <w:proofErr w:type="gramStart"/>
      <w:r w:rsidRPr="00AB2454">
        <w:rPr>
          <w:rFonts w:ascii="Times New Roman" w:hAnsi="Times New Roman" w:cs="Times New Roman"/>
          <w:sz w:val="28"/>
          <w:szCs w:val="28"/>
        </w:rPr>
        <w:t>экономики :</w:t>
      </w:r>
      <w:proofErr w:type="gramEnd"/>
      <w:r w:rsidRPr="00AB2454">
        <w:rPr>
          <w:rFonts w:ascii="Times New Roman" w:hAnsi="Times New Roman" w:cs="Times New Roman"/>
          <w:sz w:val="28"/>
          <w:szCs w:val="28"/>
        </w:rPr>
        <w:t xml:space="preserve"> учебник для </w:t>
      </w:r>
      <w:proofErr w:type="spellStart"/>
      <w:r w:rsidRPr="00AB2454">
        <w:rPr>
          <w:rFonts w:ascii="Times New Roman" w:hAnsi="Times New Roman" w:cs="Times New Roman"/>
          <w:sz w:val="28"/>
          <w:szCs w:val="28"/>
        </w:rPr>
        <w:t>спо</w:t>
      </w:r>
      <w:proofErr w:type="spellEnd"/>
      <w:r w:rsidRPr="00AB2454">
        <w:rPr>
          <w:rFonts w:ascii="Times New Roman" w:hAnsi="Times New Roman" w:cs="Times New Roman"/>
          <w:sz w:val="28"/>
          <w:szCs w:val="28"/>
        </w:rPr>
        <w:t xml:space="preserve"> / А. А. </w:t>
      </w:r>
      <w:proofErr w:type="spellStart"/>
      <w:r w:rsidRPr="00AB2454">
        <w:rPr>
          <w:rFonts w:ascii="Times New Roman" w:hAnsi="Times New Roman" w:cs="Times New Roman"/>
          <w:sz w:val="28"/>
          <w:szCs w:val="28"/>
        </w:rPr>
        <w:t>Вазим</w:t>
      </w:r>
      <w:proofErr w:type="spellEnd"/>
      <w:r w:rsidRPr="00AB2454">
        <w:rPr>
          <w:rFonts w:ascii="Times New Roman" w:hAnsi="Times New Roman" w:cs="Times New Roman"/>
          <w:sz w:val="28"/>
          <w:szCs w:val="28"/>
        </w:rPr>
        <w:t>. — 2-е изд., стер. — Санкт-</w:t>
      </w:r>
      <w:proofErr w:type="gramStart"/>
      <w:r w:rsidRPr="00AB2454">
        <w:rPr>
          <w:rFonts w:ascii="Times New Roman" w:hAnsi="Times New Roman" w:cs="Times New Roman"/>
          <w:sz w:val="28"/>
          <w:szCs w:val="28"/>
        </w:rPr>
        <w:t>Петербург :</w:t>
      </w:r>
      <w:proofErr w:type="gramEnd"/>
      <w:r w:rsidRPr="00AB2454">
        <w:rPr>
          <w:rFonts w:ascii="Times New Roman" w:hAnsi="Times New Roman" w:cs="Times New Roman"/>
          <w:sz w:val="28"/>
          <w:szCs w:val="28"/>
        </w:rPr>
        <w:t xml:space="preserve"> Лань, 2022. — 224 с. — ISBN 978-5-8114-8953-4.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2.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xml:space="preserve">, В. Г.  Налоги и налогообложение. </w:t>
      </w:r>
      <w:proofErr w:type="gramStart"/>
      <w:r w:rsidRPr="00AB2454">
        <w:rPr>
          <w:rFonts w:ascii="Times New Roman" w:hAnsi="Times New Roman" w:cs="Times New Roman"/>
          <w:sz w:val="28"/>
          <w:szCs w:val="28"/>
        </w:rPr>
        <w:t>Практикум :</w:t>
      </w:r>
      <w:proofErr w:type="gramEnd"/>
      <w:r w:rsidRPr="00AB2454">
        <w:rPr>
          <w:rFonts w:ascii="Times New Roman" w:hAnsi="Times New Roman" w:cs="Times New Roman"/>
          <w:sz w:val="28"/>
          <w:szCs w:val="28"/>
        </w:rPr>
        <w:t xml:space="preserve"> учебное пособие для среднего профессионального образования / В. Г. </w:t>
      </w:r>
      <w:proofErr w:type="spellStart"/>
      <w:r w:rsidRPr="00AB2454">
        <w:rPr>
          <w:rFonts w:ascii="Times New Roman" w:hAnsi="Times New Roman" w:cs="Times New Roman"/>
          <w:sz w:val="28"/>
          <w:szCs w:val="28"/>
        </w:rPr>
        <w:t>Пансков</w:t>
      </w:r>
      <w:proofErr w:type="spellEnd"/>
      <w:r w:rsidRPr="00AB2454">
        <w:rPr>
          <w:rFonts w:ascii="Times New Roman" w:hAnsi="Times New Roman" w:cs="Times New Roman"/>
          <w:sz w:val="28"/>
          <w:szCs w:val="28"/>
        </w:rPr>
        <w:t xml:space="preserve">, Т. А. Левочкина.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2021. — 319 с. — (Профессиональное образование). — ISBN 978-5-534-01097-8. — URL: https://urait.ru/bcode/469486 (дата обращения: 01.08.2021). — Режим </w:t>
      </w:r>
      <w:proofErr w:type="gramStart"/>
      <w:r w:rsidRPr="00AB2454">
        <w:rPr>
          <w:rFonts w:ascii="Times New Roman" w:hAnsi="Times New Roman" w:cs="Times New Roman"/>
          <w:sz w:val="28"/>
          <w:szCs w:val="28"/>
        </w:rPr>
        <w:t>доступа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 xml:space="preserve">3.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xml:space="preserve">, П. Д. Основы </w:t>
      </w:r>
      <w:proofErr w:type="gramStart"/>
      <w:r w:rsidRPr="00AB2454">
        <w:rPr>
          <w:rFonts w:ascii="Times New Roman" w:hAnsi="Times New Roman" w:cs="Times New Roman"/>
          <w:sz w:val="28"/>
          <w:szCs w:val="28"/>
        </w:rPr>
        <w:t>экономики :</w:t>
      </w:r>
      <w:proofErr w:type="gramEnd"/>
      <w:r w:rsidRPr="00AB2454">
        <w:rPr>
          <w:rFonts w:ascii="Times New Roman" w:hAnsi="Times New Roman" w:cs="Times New Roman"/>
          <w:sz w:val="28"/>
          <w:szCs w:val="28"/>
        </w:rPr>
        <w:t xml:space="preserve"> учебник и практикум для среднего профессионального образования / П. Д. </w:t>
      </w:r>
      <w:proofErr w:type="spellStart"/>
      <w:r w:rsidRPr="00AB2454">
        <w:rPr>
          <w:rFonts w:ascii="Times New Roman" w:hAnsi="Times New Roman" w:cs="Times New Roman"/>
          <w:sz w:val="28"/>
          <w:szCs w:val="28"/>
        </w:rPr>
        <w:t>Шимко</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Москва :</w:t>
      </w:r>
      <w:proofErr w:type="gramEnd"/>
      <w:r w:rsidRPr="00AB2454">
        <w:rPr>
          <w:rFonts w:ascii="Times New Roman" w:hAnsi="Times New Roman" w:cs="Times New Roman"/>
          <w:sz w:val="28"/>
          <w:szCs w:val="28"/>
        </w:rPr>
        <w:t xml:space="preserve">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2019. — 380 с. — (Профессиональное образование). — ISBN 978-5-534-01368-9. — URL: https://urait.ru/bcode/433776 (дата обращения: 27.07.2021). — Режим </w:t>
      </w:r>
      <w:proofErr w:type="gramStart"/>
      <w:r w:rsidRPr="00AB2454">
        <w:rPr>
          <w:rFonts w:ascii="Times New Roman" w:hAnsi="Times New Roman" w:cs="Times New Roman"/>
          <w:sz w:val="28"/>
          <w:szCs w:val="28"/>
        </w:rPr>
        <w:t>доступа :</w:t>
      </w:r>
      <w:proofErr w:type="gramEnd"/>
      <w:r w:rsidRPr="00AB2454">
        <w:rPr>
          <w:rFonts w:ascii="Times New Roman" w:hAnsi="Times New Roman" w:cs="Times New Roman"/>
          <w:sz w:val="28"/>
          <w:szCs w:val="28"/>
        </w:rPr>
        <w:t xml:space="preserve"> Электронно-библиотечная система </w:t>
      </w:r>
      <w:proofErr w:type="spellStart"/>
      <w:r w:rsidRPr="00AB2454">
        <w:rPr>
          <w:rFonts w:ascii="Times New Roman" w:hAnsi="Times New Roman" w:cs="Times New Roman"/>
          <w:sz w:val="28"/>
          <w:szCs w:val="28"/>
        </w:rPr>
        <w:t>Юрайт</w:t>
      </w:r>
      <w:proofErr w:type="spellEnd"/>
      <w:r w:rsidRPr="00AB2454">
        <w:rPr>
          <w:rFonts w:ascii="Times New Roman" w:hAnsi="Times New Roman" w:cs="Times New Roman"/>
          <w:sz w:val="28"/>
          <w:szCs w:val="28"/>
        </w:rPr>
        <w:t xml:space="preserve">. — </w:t>
      </w:r>
      <w:proofErr w:type="gramStart"/>
      <w:r w:rsidRPr="00AB2454">
        <w:rPr>
          <w:rFonts w:ascii="Times New Roman" w:hAnsi="Times New Roman" w:cs="Times New Roman"/>
          <w:sz w:val="28"/>
          <w:szCs w:val="28"/>
        </w:rPr>
        <w:t>Текст :</w:t>
      </w:r>
      <w:proofErr w:type="gramEnd"/>
      <w:r w:rsidRPr="00AB2454">
        <w:rPr>
          <w:rFonts w:ascii="Times New Roman" w:hAnsi="Times New Roman" w:cs="Times New Roman"/>
          <w:sz w:val="28"/>
          <w:szCs w:val="28"/>
        </w:rPr>
        <w:t xml:space="preserve">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 xml:space="preserve">https://школа.вашифинансы.рф/.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устройство банковской 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 xml:space="preserve">сущность понятий «депозит» и «кредит», их виды и </w:t>
            </w:r>
            <w:proofErr w:type="spellStart"/>
            <w:proofErr w:type="gramStart"/>
            <w:r w:rsidRPr="00FC6987">
              <w:rPr>
                <w:rFonts w:ascii="Times New Roman" w:hAnsi="Times New Roman"/>
                <w:color w:val="000000"/>
                <w:position w:val="-1"/>
                <w:sz w:val="24"/>
                <w:szCs w:val="24"/>
              </w:rPr>
              <w:t>принципы;схемы</w:t>
            </w:r>
            <w:proofErr w:type="spellEnd"/>
            <w:proofErr w:type="gramEnd"/>
            <w:r w:rsidRPr="00FC6987">
              <w:rPr>
                <w:rFonts w:ascii="Times New Roman" w:hAnsi="Times New Roman"/>
                <w:color w:val="000000"/>
                <w:position w:val="-1"/>
                <w:sz w:val="24"/>
                <w:szCs w:val="24"/>
              </w:rPr>
              <w:t xml:space="preserve">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FF5DEB" w:rsidRPr="00363C34" w14:paraId="0A7503A1" w14:textId="77777777" w:rsidTr="00D445FF">
        <w:trPr>
          <w:trHeight w:val="358"/>
        </w:trPr>
        <w:tc>
          <w:tcPr>
            <w:tcW w:w="5000" w:type="pct"/>
            <w:gridSpan w:val="3"/>
            <w:vAlign w:val="center"/>
          </w:tcPr>
          <w:p w14:paraId="698ABCAC"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D445FF">
        <w:trPr>
          <w:trHeight w:val="250"/>
        </w:trPr>
        <w:tc>
          <w:tcPr>
            <w:tcW w:w="591" w:type="pct"/>
            <w:vAlign w:val="center"/>
          </w:tcPr>
          <w:p w14:paraId="4618F59B" w14:textId="77777777" w:rsidR="00FF5DEB" w:rsidRPr="00363C34" w:rsidRDefault="00FF5DEB" w:rsidP="00D445FF">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метапредметные/ предметные результаты</w:t>
            </w:r>
          </w:p>
        </w:tc>
        <w:tc>
          <w:tcPr>
            <w:tcW w:w="1322" w:type="pct"/>
          </w:tcPr>
          <w:p w14:paraId="11352049" w14:textId="77777777" w:rsidR="00FF5DEB" w:rsidRPr="00363C34" w:rsidRDefault="00FF5DEB" w:rsidP="00D445FF">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D445FF">
        <w:trPr>
          <w:trHeight w:val="250"/>
        </w:trPr>
        <w:tc>
          <w:tcPr>
            <w:tcW w:w="591" w:type="pct"/>
            <w:vAlign w:val="center"/>
          </w:tcPr>
          <w:p w14:paraId="265D693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B1C2EFD" w14:textId="77777777" w:rsidTr="00D445FF">
        <w:trPr>
          <w:trHeight w:val="250"/>
        </w:trPr>
        <w:tc>
          <w:tcPr>
            <w:tcW w:w="591" w:type="pct"/>
          </w:tcPr>
          <w:p w14:paraId="56E147A5"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13.</w:t>
            </w:r>
          </w:p>
        </w:tc>
        <w:tc>
          <w:tcPr>
            <w:tcW w:w="3087" w:type="pct"/>
          </w:tcPr>
          <w:p w14:paraId="1B866BBF" w14:textId="77777777" w:rsidR="00FF5DEB" w:rsidRPr="00363C34" w:rsidRDefault="00FF5DEB" w:rsidP="00D445FF">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0EE039F5"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D445FF">
        <w:trPr>
          <w:trHeight w:val="250"/>
        </w:trPr>
        <w:tc>
          <w:tcPr>
            <w:tcW w:w="5000" w:type="pct"/>
            <w:gridSpan w:val="3"/>
          </w:tcPr>
          <w:p w14:paraId="13438897" w14:textId="77777777" w:rsidR="00FF5DEB" w:rsidRPr="00706AEB"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D445FF">
        <w:trPr>
          <w:trHeight w:val="250"/>
        </w:trPr>
        <w:tc>
          <w:tcPr>
            <w:tcW w:w="591" w:type="pct"/>
          </w:tcPr>
          <w:p w14:paraId="2767CAFA"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38CD8782" w14:textId="77777777" w:rsidR="00FF5DEB" w:rsidRPr="00363C34" w:rsidRDefault="00FF5DEB" w:rsidP="00D445FF">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D445FF">
        <w:trPr>
          <w:trHeight w:val="250"/>
        </w:trPr>
        <w:tc>
          <w:tcPr>
            <w:tcW w:w="591" w:type="pct"/>
          </w:tcPr>
          <w:p w14:paraId="53228A94"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D445FF">
        <w:trPr>
          <w:trHeight w:val="250"/>
        </w:trPr>
        <w:tc>
          <w:tcPr>
            <w:tcW w:w="5000" w:type="pct"/>
            <w:gridSpan w:val="3"/>
          </w:tcPr>
          <w:p w14:paraId="0FB05A77"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D445FF">
        <w:trPr>
          <w:trHeight w:val="250"/>
        </w:trPr>
        <w:tc>
          <w:tcPr>
            <w:tcW w:w="591" w:type="pct"/>
          </w:tcPr>
          <w:p w14:paraId="26C28A2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Уважающий обычаи и традиции народов Красноярского края</w:t>
            </w:r>
          </w:p>
        </w:tc>
        <w:tc>
          <w:tcPr>
            <w:tcW w:w="1322" w:type="pct"/>
          </w:tcPr>
          <w:p w14:paraId="39773E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D445FF">
        <w:trPr>
          <w:trHeight w:val="250"/>
        </w:trPr>
        <w:tc>
          <w:tcPr>
            <w:tcW w:w="5000" w:type="pct"/>
            <w:gridSpan w:val="3"/>
          </w:tcPr>
          <w:p w14:paraId="2A3743D8" w14:textId="77777777" w:rsidR="00FF5DEB" w:rsidRPr="00363C34" w:rsidRDefault="00FF5DEB" w:rsidP="00D445FF">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D445FF">
        <w:trPr>
          <w:trHeight w:val="250"/>
        </w:trPr>
        <w:tc>
          <w:tcPr>
            <w:tcW w:w="591" w:type="pct"/>
          </w:tcPr>
          <w:p w14:paraId="1C973F11"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D445FF">
        <w:trPr>
          <w:trHeight w:val="250"/>
        </w:trPr>
        <w:tc>
          <w:tcPr>
            <w:tcW w:w="591" w:type="pct"/>
          </w:tcPr>
          <w:p w14:paraId="56DA82F6"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D445FF">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D445FF">
        <w:trPr>
          <w:trHeight w:val="250"/>
        </w:trPr>
        <w:tc>
          <w:tcPr>
            <w:tcW w:w="591" w:type="pct"/>
          </w:tcPr>
          <w:p w14:paraId="6E91C309"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D445FF">
        <w:trPr>
          <w:trHeight w:val="250"/>
        </w:trPr>
        <w:tc>
          <w:tcPr>
            <w:tcW w:w="5000" w:type="pct"/>
            <w:gridSpan w:val="3"/>
          </w:tcPr>
          <w:p w14:paraId="459A41CF" w14:textId="77777777" w:rsidR="00FF5DEB" w:rsidRPr="00363C34" w:rsidRDefault="00FF5DEB" w:rsidP="00D445FF">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D445FF">
        <w:trPr>
          <w:trHeight w:val="250"/>
        </w:trPr>
        <w:tc>
          <w:tcPr>
            <w:tcW w:w="591" w:type="pct"/>
          </w:tcPr>
          <w:p w14:paraId="02A88F07" w14:textId="77777777" w:rsidR="00FF5DEB" w:rsidRPr="00363C34" w:rsidRDefault="00FF5DEB" w:rsidP="00D445FF">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D445FF">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D445FF">
        <w:tc>
          <w:tcPr>
            <w:tcW w:w="2977" w:type="dxa"/>
          </w:tcPr>
          <w:p w14:paraId="7F8AA1A5"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Общие/ Профессиональные компетенции/Личностные результаты</w:t>
            </w:r>
          </w:p>
        </w:tc>
        <w:tc>
          <w:tcPr>
            <w:tcW w:w="1276" w:type="dxa"/>
          </w:tcPr>
          <w:p w14:paraId="0468401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D445FF">
        <w:tc>
          <w:tcPr>
            <w:tcW w:w="2977" w:type="dxa"/>
          </w:tcPr>
          <w:p w14:paraId="0F46F6DE"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ОК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Уок1.01;</w:t>
            </w:r>
          </w:p>
          <w:p w14:paraId="3974009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Уок1.02</w:t>
            </w:r>
          </w:p>
          <w:p w14:paraId="3247D67C"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Уок1.03;</w:t>
            </w:r>
          </w:p>
          <w:p w14:paraId="08FC11EA"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Уок1.04</w:t>
            </w:r>
          </w:p>
          <w:p w14:paraId="494800B2"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Уок1.05;</w:t>
            </w:r>
          </w:p>
          <w:p w14:paraId="6A4F797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Уок1.06 Уок1.07;</w:t>
            </w:r>
          </w:p>
        </w:tc>
        <w:tc>
          <w:tcPr>
            <w:tcW w:w="1417" w:type="dxa"/>
          </w:tcPr>
          <w:p w14:paraId="05F3AB0B"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Зок1.01 </w:t>
            </w:r>
          </w:p>
          <w:p w14:paraId="354420D7"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Зок1.02 Зок1.03 </w:t>
            </w:r>
          </w:p>
          <w:p w14:paraId="11ACA2F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Зок1.04 Зок1.05 </w:t>
            </w:r>
          </w:p>
          <w:p w14:paraId="26F47C74" w14:textId="77777777" w:rsidR="00FF5DEB" w:rsidRPr="003840A0" w:rsidRDefault="00FF5DEB" w:rsidP="00D445FF">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D445FF">
        <w:tc>
          <w:tcPr>
            <w:tcW w:w="2977" w:type="dxa"/>
          </w:tcPr>
          <w:p w14:paraId="6459560D" w14:textId="77777777" w:rsidR="00FF5DEB" w:rsidRPr="00363C34" w:rsidRDefault="00FF5DEB" w:rsidP="00D445FF">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Уок2.01;</w:t>
            </w:r>
          </w:p>
          <w:p w14:paraId="0EF373DF"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Уок2.02</w:t>
            </w:r>
          </w:p>
          <w:p w14:paraId="2CB0D9E0"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Уок2.03;</w:t>
            </w:r>
          </w:p>
          <w:p w14:paraId="17A33221"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Уок2.04</w:t>
            </w:r>
          </w:p>
          <w:p w14:paraId="6AC6E7F7"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Уок2.05;</w:t>
            </w:r>
          </w:p>
          <w:p w14:paraId="6BBDCF9C"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Уок2.06 Уок2.07;</w:t>
            </w:r>
          </w:p>
          <w:p w14:paraId="6BD28EA0"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Уок2.08 Уок2.09;</w:t>
            </w:r>
          </w:p>
        </w:tc>
        <w:tc>
          <w:tcPr>
            <w:tcW w:w="1417" w:type="dxa"/>
          </w:tcPr>
          <w:p w14:paraId="07B6932E"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Зок2.01 </w:t>
            </w:r>
          </w:p>
          <w:p w14:paraId="0238F35A"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Зок2.02 Зок2.03 </w:t>
            </w:r>
          </w:p>
          <w:p w14:paraId="5DDC7A8B" w14:textId="77777777" w:rsidR="00FF5DEB" w:rsidRPr="009D202E" w:rsidRDefault="00FF5DEB" w:rsidP="00D445FF">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Зок2.04  </w:t>
            </w:r>
          </w:p>
          <w:p w14:paraId="6E55FED6" w14:textId="77777777" w:rsidR="00FF5DEB" w:rsidRPr="00363C34" w:rsidRDefault="00FF5DEB" w:rsidP="00D445FF">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D445FF">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D445FF">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D445FF">
            <w:pPr>
              <w:rPr>
                <w:rFonts w:ascii="Times New Roman" w:eastAsiaTheme="minorEastAsia" w:hAnsi="Times New Roman" w:cs="Times New Roman"/>
              </w:rPr>
            </w:pPr>
            <w:r w:rsidRPr="00363C34">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D445FF">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667EBE26"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D445FF">
            <w:pPr>
              <w:rPr>
                <w:rFonts w:ascii="Times New Roman" w:hAnsi="Times New Roman" w:cs="Times New Roman"/>
                <w:sz w:val="24"/>
                <w:szCs w:val="24"/>
              </w:rPr>
            </w:pPr>
            <w:r w:rsidRPr="009D202E">
              <w:rPr>
                <w:rFonts w:ascii="Times New Roman" w:hAnsi="Times New Roman" w:cs="Times New Roman"/>
                <w:position w:val="-1"/>
                <w:sz w:val="24"/>
                <w:szCs w:val="24"/>
              </w:rPr>
              <w:t xml:space="preserve">ОК 04 </w:t>
            </w:r>
            <w:r w:rsidRPr="009D202E">
              <w:rPr>
                <w:rFonts w:ascii="Times New Roman" w:hAnsi="Times New Roman" w:cs="Times New Roman"/>
                <w:sz w:val="24"/>
                <w:szCs w:val="24"/>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E253DA9" w14:textId="77777777" w:rsidR="00FF5DEB" w:rsidRPr="009D202E" w:rsidRDefault="00FF5DEB" w:rsidP="00D445FF">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Уок4.01;</w:t>
            </w:r>
          </w:p>
          <w:p w14:paraId="352C056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Уок4.02</w:t>
            </w:r>
          </w:p>
          <w:p w14:paraId="74D73CEA"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D445FF">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D445FF">
            <w:pPr>
              <w:rPr>
                <w:rFonts w:ascii="Times New Roman" w:hAnsi="Times New Roman" w:cs="Times New Roman"/>
                <w:position w:val="-1"/>
                <w:sz w:val="24"/>
                <w:szCs w:val="24"/>
              </w:rPr>
            </w:pPr>
            <w:proofErr w:type="gramStart"/>
            <w:r>
              <w:rPr>
                <w:rFonts w:ascii="Times New Roman" w:hAnsi="Times New Roman" w:cs="Times New Roman"/>
                <w:position w:val="-1"/>
                <w:sz w:val="24"/>
                <w:szCs w:val="24"/>
              </w:rPr>
              <w:t>ОК  05</w:t>
            </w:r>
            <w:proofErr w:type="gramEnd"/>
            <w:r>
              <w:rPr>
                <w:rFonts w:ascii="Times New Roman" w:hAnsi="Times New Roman" w:cs="Times New Roman"/>
                <w:position w:val="-1"/>
                <w:sz w:val="24"/>
                <w:szCs w:val="24"/>
              </w:rPr>
              <w:t xml:space="preserve">.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05.01</w:t>
            </w:r>
          </w:p>
          <w:p w14:paraId="25B1C184" w14:textId="518FEACD"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05.01</w:t>
            </w:r>
          </w:p>
        </w:tc>
        <w:tc>
          <w:tcPr>
            <w:tcW w:w="1276" w:type="dxa"/>
          </w:tcPr>
          <w:p w14:paraId="1EBA5D4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.02</w:t>
            </w:r>
          </w:p>
          <w:p w14:paraId="0E732709" w14:textId="77777777" w:rsidR="00AC241C" w:rsidRDefault="00AC241C" w:rsidP="00D445FF">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D445FF">
            <w:pPr>
              <w:rPr>
                <w:rFonts w:ascii="Times New Roman" w:hAnsi="Times New Roman" w:cs="Times New Roman"/>
                <w:position w:val="-1"/>
                <w:sz w:val="24"/>
                <w:szCs w:val="24"/>
              </w:rPr>
            </w:pPr>
            <w:r>
              <w:rPr>
                <w:rFonts w:ascii="Times New Roman" w:hAnsi="Times New Roman" w:cs="Times New Roman"/>
                <w:position w:val="-1"/>
                <w:sz w:val="24"/>
                <w:szCs w:val="24"/>
              </w:rPr>
              <w:t>ОК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AC241C">
              <w:rPr>
                <w:rFonts w:ascii="Times New Roman" w:eastAsia="TimesNewRomanPSMT" w:hAnsi="Times New Roman" w:cs="Times New Roman"/>
                <w:bCs/>
                <w:sz w:val="24"/>
                <w:szCs w:val="24"/>
              </w:rPr>
              <w:t>Зок</w:t>
            </w:r>
            <w:proofErr w:type="spellEnd"/>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D445FF">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ОК 09 Пользоваться профессиональной документацией на государственном и иностранном языках</w:t>
            </w:r>
          </w:p>
        </w:tc>
        <w:tc>
          <w:tcPr>
            <w:tcW w:w="1276" w:type="dxa"/>
          </w:tcPr>
          <w:p w14:paraId="7183D0EC" w14:textId="0505CABD" w:rsidR="00FF5DEB"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proofErr w:type="spellStart"/>
            <w:r w:rsidRPr="009D202E">
              <w:rPr>
                <w:rFonts w:ascii="Times New Roman" w:eastAsia="TimesNewRomanPSMT" w:hAnsi="Times New Roman" w:cs="Times New Roman"/>
                <w:bCs/>
                <w:sz w:val="24"/>
                <w:szCs w:val="24"/>
              </w:rPr>
              <w:t>Уок</w:t>
            </w:r>
            <w:proofErr w:type="spellEnd"/>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Уок09.04</w:t>
            </w:r>
          </w:p>
          <w:p w14:paraId="2D4F6113"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Зок09.01 </w:t>
            </w:r>
          </w:p>
          <w:p w14:paraId="4EA3FB71"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Зок09.04  </w:t>
            </w:r>
          </w:p>
          <w:p w14:paraId="72FF4BAC" w14:textId="77777777" w:rsidR="00FF5DEB" w:rsidRPr="009D202E" w:rsidRDefault="00FF5DEB" w:rsidP="00D445FF">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781C0E25"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FF5DEB" w:rsidRPr="009D202E" w14:paraId="704C2A98"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D445FF">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D445FF">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D445FF">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D445FF">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D445FF">
            <w:pPr>
              <w:spacing w:after="160" w:line="259" w:lineRule="auto"/>
              <w:rPr>
                <w:rFonts w:ascii="Times New Roman" w:eastAsiaTheme="minorEastAsia" w:hAnsi="Times New Roman" w:cs="Times New Roman"/>
                <w:sz w:val="24"/>
                <w:szCs w:val="24"/>
              </w:rPr>
            </w:pPr>
          </w:p>
        </w:tc>
      </w:tr>
      <w:tr w:rsidR="00AC241C" w:rsidRPr="009D202E" w14:paraId="5A2B44CD" w14:textId="77777777" w:rsidTr="00D445FF">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 Производить ремонт, наладку узлов и механизмов тракторов</w:t>
            </w:r>
          </w:p>
        </w:tc>
        <w:tc>
          <w:tcPr>
            <w:tcW w:w="1276" w:type="dxa"/>
          </w:tcPr>
          <w:p w14:paraId="62F08163" w14:textId="3E744BC0"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D445FF">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D445FF">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D445FF">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78FA" w14:textId="77777777" w:rsidR="00B11EBB" w:rsidRDefault="00B11EBB" w:rsidP="00C35D61">
      <w:pPr>
        <w:spacing w:after="0" w:line="240" w:lineRule="auto"/>
      </w:pPr>
      <w:r>
        <w:separator/>
      </w:r>
    </w:p>
  </w:endnote>
  <w:endnote w:type="continuationSeparator" w:id="0">
    <w:p w14:paraId="7344C636" w14:textId="77777777" w:rsidR="00B11EBB" w:rsidRDefault="00B11EBB"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27831"/>
      <w:docPartObj>
        <w:docPartGallery w:val="Page Numbers (Bottom of Page)"/>
        <w:docPartUnique/>
      </w:docPartObj>
    </w:sdtPr>
    <w:sdtEndPr/>
    <w:sdtContent>
      <w:p w14:paraId="6ECF68BC" w14:textId="5F449956" w:rsidR="00D445FF" w:rsidRDefault="00D445FF">
        <w:pPr>
          <w:pStyle w:val="a6"/>
          <w:jc w:val="right"/>
        </w:pPr>
        <w:r>
          <w:fldChar w:fldCharType="begin"/>
        </w:r>
        <w:r>
          <w:instrText>PAGE   \* MERGEFORMAT</w:instrText>
        </w:r>
        <w:r>
          <w:fldChar w:fldCharType="separate"/>
        </w:r>
        <w:r w:rsidR="00B72379">
          <w:rPr>
            <w:noProof/>
          </w:rPr>
          <w:t>25</w:t>
        </w:r>
        <w:r>
          <w:fldChar w:fldCharType="end"/>
        </w:r>
      </w:p>
    </w:sdtContent>
  </w:sdt>
  <w:p w14:paraId="01A89882" w14:textId="77777777" w:rsidR="00D445FF" w:rsidRDefault="00D445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1955" w14:textId="77777777" w:rsidR="00B11EBB" w:rsidRDefault="00B11EBB" w:rsidP="00C35D61">
      <w:pPr>
        <w:spacing w:after="0" w:line="240" w:lineRule="auto"/>
      </w:pPr>
      <w:r>
        <w:separator/>
      </w:r>
    </w:p>
  </w:footnote>
  <w:footnote w:type="continuationSeparator" w:id="0">
    <w:p w14:paraId="480A805B" w14:textId="77777777" w:rsidR="00B11EBB" w:rsidRDefault="00B11EBB" w:rsidP="00C35D61">
      <w:pPr>
        <w:spacing w:after="0" w:line="240" w:lineRule="auto"/>
      </w:pPr>
      <w:r>
        <w:continuationSeparator/>
      </w:r>
    </w:p>
  </w:footnote>
  <w:footnote w:id="1">
    <w:p w14:paraId="73ABA2BD" w14:textId="77777777" w:rsidR="00D445FF" w:rsidRDefault="00D445FF"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30"/>
    <w:rsid w:val="00002AB2"/>
    <w:rsid w:val="00012C99"/>
    <w:rsid w:val="0006658E"/>
    <w:rsid w:val="00067762"/>
    <w:rsid w:val="00087A72"/>
    <w:rsid w:val="000D310E"/>
    <w:rsid w:val="001554B5"/>
    <w:rsid w:val="00170E9F"/>
    <w:rsid w:val="00181E0B"/>
    <w:rsid w:val="001A06C3"/>
    <w:rsid w:val="001A0E81"/>
    <w:rsid w:val="001A649E"/>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351DE"/>
    <w:rsid w:val="00665914"/>
    <w:rsid w:val="006671B0"/>
    <w:rsid w:val="006870CB"/>
    <w:rsid w:val="006B5600"/>
    <w:rsid w:val="006C3C0E"/>
    <w:rsid w:val="006E2317"/>
    <w:rsid w:val="0070155E"/>
    <w:rsid w:val="00713340"/>
    <w:rsid w:val="00716768"/>
    <w:rsid w:val="00737EE4"/>
    <w:rsid w:val="007521FF"/>
    <w:rsid w:val="00756C07"/>
    <w:rsid w:val="0078080E"/>
    <w:rsid w:val="00790887"/>
    <w:rsid w:val="007A0E1B"/>
    <w:rsid w:val="007B19FB"/>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44712"/>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11EBB"/>
    <w:rsid w:val="00B21C0C"/>
    <w:rsid w:val="00B416CE"/>
    <w:rsid w:val="00B57E4E"/>
    <w:rsid w:val="00B72379"/>
    <w:rsid w:val="00B8195E"/>
    <w:rsid w:val="00B94B35"/>
    <w:rsid w:val="00BD51A3"/>
    <w:rsid w:val="00BE1D4F"/>
    <w:rsid w:val="00C04B25"/>
    <w:rsid w:val="00C35D61"/>
    <w:rsid w:val="00C47CBC"/>
    <w:rsid w:val="00CC5DD0"/>
    <w:rsid w:val="00CE6C98"/>
    <w:rsid w:val="00D02B14"/>
    <w:rsid w:val="00D101AE"/>
    <w:rsid w:val="00D25943"/>
    <w:rsid w:val="00D36712"/>
    <w:rsid w:val="00D445FF"/>
    <w:rsid w:val="00D568EA"/>
    <w:rsid w:val="00D82BE0"/>
    <w:rsid w:val="00D937F2"/>
    <w:rsid w:val="00DA6564"/>
    <w:rsid w:val="00E04A61"/>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D71DDB63-2BF8-465A-9114-616F08A7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8DED-DB81-42DD-9333-F905B671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5817</Words>
  <Characters>33159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2</cp:revision>
  <dcterms:created xsi:type="dcterms:W3CDTF">2024-12-13T05:42:00Z</dcterms:created>
  <dcterms:modified xsi:type="dcterms:W3CDTF">2024-12-13T05:42:00Z</dcterms:modified>
</cp:coreProperties>
</file>