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>
        <w:rPr>
          <w:rFonts w:ascii="*Minion Pro-19096-Identity-H" w:hAnsi="*Minion Pro-19096-Identity-H" w:cs="*Minion Pro-19096-Identity-H"/>
          <w:sz w:val="32"/>
          <w:szCs w:val="32"/>
        </w:rPr>
        <w:t>Лекция по слесарному делу гр1.6 (1час)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Для </w:t>
      </w:r>
      <w:r>
        <w:rPr>
          <w:rFonts w:ascii="*Minion Pro-19096-Identity-H" w:hAnsi="*Minion Pro-19096-Identity-H" w:cs="*Minion Pro-19096-Identity-H"/>
          <w:sz w:val="32"/>
          <w:szCs w:val="32"/>
        </w:rPr>
        <w:t>выполн</w:t>
      </w:r>
      <w:r w:rsidRPr="00A80710">
        <w:rPr>
          <w:rFonts w:ascii="*Minion Pro-19096-Identity-H" w:hAnsi="*Minion Pro-19096-Identity-H" w:cs="*Minion Pro-19096-Identity-H"/>
          <w:sz w:val="32"/>
          <w:szCs w:val="32"/>
        </w:rPr>
        <w:t>ения операций технического контроля в условиях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массового и крупносерийного производства широко используют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контрольные инструменты в виде калибров. </w:t>
      </w:r>
      <w:r w:rsidRPr="00A80710">
        <w:rPr>
          <w:rFonts w:ascii="*Verdana-BoldItalic-19094-Ident" w:hAnsi="*Verdana-BoldItalic-19094-Ident" w:cs="*Verdana-BoldItalic-19094-Ident"/>
          <w:b/>
          <w:bCs/>
          <w:i/>
          <w:iCs/>
          <w:sz w:val="32"/>
          <w:szCs w:val="32"/>
        </w:rPr>
        <w:t xml:space="preserve">Калибры </w:t>
      </w:r>
      <w:r w:rsidRPr="00A80710">
        <w:rPr>
          <w:rFonts w:ascii="*Minion Pro-19096-Identity-H" w:hAnsi="*Minion Pro-19096-Identity-H" w:cs="*Minion Pro-19096-Identity-H"/>
          <w:sz w:val="32"/>
          <w:szCs w:val="32"/>
        </w:rPr>
        <w:t>- это тела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или устройства, предназначенные для проверки соответствия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размеров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изделий или их конфигурации установленным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допускам. Они применяются чаще всего для определения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годности деталей с точностью от 6-го до 18-го квалитетов точности,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а также в устройствах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активного контроля.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С помощью </w:t>
      </w:r>
      <w:proofErr w:type="spellStart"/>
      <w:r w:rsidRPr="00A80710">
        <w:rPr>
          <w:rFonts w:ascii="*Verdana-BoldItalic-19094-Ident" w:hAnsi="*Verdana-BoldItalic-19094-Ident" w:cs="*Verdana-BoldItalic-19094-Ident"/>
          <w:b/>
          <w:bCs/>
          <w:i/>
          <w:iCs/>
          <w:sz w:val="32"/>
          <w:szCs w:val="32"/>
        </w:rPr>
        <w:t>преgельных</w:t>
      </w:r>
      <w:proofErr w:type="spellEnd"/>
      <w:r w:rsidRPr="00A80710">
        <w:rPr>
          <w:rFonts w:ascii="*Verdana-BoldItalic-19094-Ident" w:hAnsi="*Verdana-BoldItalic-19094-Ident" w:cs="*Verdana-BoldItalic-19094-Ident"/>
          <w:b/>
          <w:bCs/>
          <w:i/>
          <w:iCs/>
          <w:sz w:val="32"/>
          <w:szCs w:val="32"/>
        </w:rPr>
        <w:t xml:space="preserve"> калибров </w:t>
      </w:r>
      <w:r w:rsidRPr="00A80710">
        <w:rPr>
          <w:rFonts w:ascii="*Minion Pro-19096-Identity-H" w:hAnsi="*Minion Pro-19096-Identity-H" w:cs="*Minion Pro-19096-Identity-H"/>
          <w:sz w:val="32"/>
          <w:szCs w:val="32"/>
        </w:rPr>
        <w:t>не определяют числовое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значение контролируемого параметра, а выясняют, не выходит ли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он за предельные значения. При </w:t>
      </w:r>
      <w:proofErr w:type="spellStart"/>
      <w:r w:rsidRPr="00A80710">
        <w:rPr>
          <w:rFonts w:ascii="*Minion Pro-19096-Identity-H" w:hAnsi="*Minion Pro-19096-Identity-H" w:cs="*Minion Pro-19096-Identity-H"/>
          <w:sz w:val="32"/>
          <w:szCs w:val="32"/>
        </w:rPr>
        <w:t>конrроле</w:t>
      </w:r>
      <w:proofErr w:type="spellEnd"/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 деталь считается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годной,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если проходная сторона калибра (ПР) под действием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усилия, примерно равного весу калибра, проходит, а непроходная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сторона калибра (НЕ) не проходит по </w:t>
      </w:r>
      <w:proofErr w:type="spellStart"/>
      <w:r w:rsidRPr="00A80710">
        <w:rPr>
          <w:rFonts w:ascii="*Minion Pro-19096-Identity-H" w:hAnsi="*Minion Pro-19096-Identity-H" w:cs="*Minion Pro-19096-Identity-H"/>
          <w:sz w:val="32"/>
          <w:szCs w:val="32"/>
        </w:rPr>
        <w:t>конrролируемой</w:t>
      </w:r>
      <w:proofErr w:type="spellEnd"/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 поверхности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детали.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Если ПР не проходит, то деталь относят к бракованным с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исправимым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браком. Если НЕ проходит, то деталь относят к бракованным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>с неисправимым браком.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19096-Identity-H" w:hAnsi="*Minion Pro-19096-Identity-H" w:cs="*Minion Pro-19096-Identity-H"/>
          <w:sz w:val="32"/>
          <w:szCs w:val="32"/>
        </w:rPr>
      </w:pPr>
      <w:r w:rsidRPr="00A80710">
        <w:rPr>
          <w:rFonts w:ascii="*Minion Pro-19096-Identity-H" w:hAnsi="*Minion Pro-19096-Identity-H" w:cs="*Minion Pro-19096-Identity-H"/>
          <w:sz w:val="32"/>
          <w:szCs w:val="32"/>
        </w:rPr>
        <w:t xml:space="preserve">Виды </w:t>
      </w:r>
      <w:proofErr w:type="spellStart"/>
      <w:r w:rsidRPr="00A80710">
        <w:rPr>
          <w:rFonts w:ascii="*Verdana-BoldItalic-19094-Ident" w:hAnsi="*Verdana-BoldItalic-19094-Ident" w:cs="*Verdana-BoldItalic-19094-Ident"/>
          <w:b/>
          <w:bCs/>
          <w:i/>
          <w:iCs/>
          <w:sz w:val="32"/>
          <w:szCs w:val="32"/>
        </w:rPr>
        <w:t>rлаgких</w:t>
      </w:r>
      <w:proofErr w:type="spellEnd"/>
      <w:r w:rsidRPr="00A80710">
        <w:rPr>
          <w:rFonts w:ascii="*Verdana-BoldItalic-19094-Ident" w:hAnsi="*Verdana-BoldItalic-19094-Ident" w:cs="*Verdana-BoldItalic-19094-Ident"/>
          <w:b/>
          <w:bCs/>
          <w:i/>
          <w:iCs/>
          <w:sz w:val="32"/>
          <w:szCs w:val="32"/>
        </w:rPr>
        <w:t xml:space="preserve"> калибров </w:t>
      </w:r>
      <w:r w:rsidRPr="00A80710">
        <w:rPr>
          <w:rFonts w:ascii="*Minion Pro-19096-Identity-H" w:hAnsi="*Minion Pro-19096-Identity-H" w:cs="*Minion Pro-19096-Identity-H"/>
          <w:sz w:val="32"/>
          <w:szCs w:val="32"/>
        </w:rPr>
        <w:t>для цилиндрических отверстий и валов</w:t>
      </w:r>
      <w:r>
        <w:rPr>
          <w:rFonts w:ascii="*Minion Pro-19096-Identity-H" w:hAnsi="*Minion Pro-19096-Identity-H" w:cs="*Minion Pro-19096-Identity-H"/>
          <w:sz w:val="32"/>
          <w:szCs w:val="32"/>
        </w:rPr>
        <w:t xml:space="preserve"> </w:t>
      </w:r>
      <w:r w:rsidRPr="00A80710">
        <w:rPr>
          <w:rFonts w:ascii="*Minion Pro-19096-Identity-H" w:hAnsi="*Minion Pro-19096-Identity-H" w:cs="*Minion Pro-19096-Identity-H"/>
          <w:sz w:val="32"/>
          <w:szCs w:val="32"/>
        </w:rPr>
        <w:t>устанавливает ГОСТ 24851-81 «Калибры гладкие для цилин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дрических отверстий и валов. Виды». Калибры предназначены для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определения годности деталей с допуском от </w:t>
      </w:r>
      <w:r w:rsidRPr="00A80710">
        <w:rPr>
          <w:rFonts w:ascii="*Times New Roman-Italic-19337-I" w:hAnsi="*Times New Roman-Italic-19337-I" w:cs="*Times New Roman-Italic-19337-I"/>
          <w:i/>
          <w:iCs/>
          <w:color w:val="000000"/>
          <w:sz w:val="32"/>
          <w:szCs w:val="32"/>
        </w:rPr>
        <w:t xml:space="preserve">JТБ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до </w:t>
      </w:r>
      <w:r w:rsidRPr="00A80710">
        <w:rPr>
          <w:rFonts w:ascii="*Times New Roman-Italic-19337-I" w:hAnsi="*Times New Roman-Italic-19337-I" w:cs="*Times New Roman-Italic-19337-I"/>
          <w:i/>
          <w:iCs/>
          <w:color w:val="000000"/>
          <w:sz w:val="32"/>
          <w:szCs w:val="32"/>
        </w:rPr>
        <w:t xml:space="preserve">IТI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7.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Стандарт предусматривает следующие гладкие калибры для валов и относящиеся к ним контрольные калибры: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ПР - проходная калибр-скоба;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НЕ - непроходная калибр-скоба;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lastRenderedPageBreak/>
        <w:t>К-ПР - контрольный проходной калибр для новой гладкой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калибр-скобы;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К-НЕ - контрольный непроходной калибр для новой гладкой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калибр-скобы;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20202"/>
          <w:sz w:val="32"/>
          <w:szCs w:val="32"/>
        </w:rPr>
      </w:pPr>
      <w:proofErr w:type="gramStart"/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>К-И</w:t>
      </w:r>
      <w:proofErr w:type="gramEnd"/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 xml:space="preserve"> - контрольный калибр для контроля износа гладкой проходной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20202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>калибр-скобы.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Для контроля отверстий предназначены ПР - проходная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калибр-пробка и НЕ - непроходная калибр-пробка.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crosoft Sans Serif-BoldItali" w:hAnsi="*Microsoft Sans Serif-BoldItali" w:cs="*Microsoft Sans Serif-BoldItali"/>
          <w:b/>
          <w:bCs/>
          <w:i/>
          <w:iCs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Для контроля отверстий применяют предельные </w:t>
      </w:r>
      <w:r w:rsidRPr="00A80710">
        <w:rPr>
          <w:rFonts w:ascii="*Microsoft Sans Serif-BoldItali" w:hAnsi="*Microsoft Sans Serif-BoldItali" w:cs="*Microsoft Sans Serif-BoldItali"/>
          <w:b/>
          <w:bCs/>
          <w:i/>
          <w:iCs/>
          <w:color w:val="000000"/>
          <w:sz w:val="32"/>
          <w:szCs w:val="32"/>
        </w:rPr>
        <w:t>калибр-пробки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различных конструкций. К ним относятся двусторонние пробки с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цилиндрическими вставками (рис. 4.32, </w:t>
      </w:r>
      <w:r w:rsidRPr="00A80710">
        <w:rPr>
          <w:rFonts w:ascii="*Cambria-BoldItalic-19342-Ident" w:hAnsi="*Cambria-BoldItalic-19342-Ident" w:cs="*Cambria-BoldItalic-19342-Ident"/>
          <w:b/>
          <w:bCs/>
          <w:i/>
          <w:iCs/>
          <w:color w:val="000000"/>
          <w:sz w:val="32"/>
          <w:szCs w:val="32"/>
        </w:rPr>
        <w:t xml:space="preserve">а)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и со вставками с коническим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хвостовиком (рис. 4.32, б); полные (рис. 4.32, </w:t>
      </w:r>
      <w:r w:rsidRPr="00A80710">
        <w:rPr>
          <w:rFonts w:ascii="*Times New Roman-Italic-19337-I" w:hAnsi="*Times New Roman-Italic-19337-I" w:cs="*Times New Roman-Italic-19337-I"/>
          <w:i/>
          <w:iCs/>
          <w:color w:val="000000"/>
          <w:sz w:val="32"/>
          <w:szCs w:val="32"/>
        </w:rPr>
        <w:t xml:space="preserve">в)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и неполные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(рис. 4.32, </w:t>
      </w:r>
      <w:r w:rsidRPr="00A80710">
        <w:rPr>
          <w:rFonts w:ascii="*Cambria-BoldItalic-19342-Ident" w:hAnsi="*Cambria-BoldItalic-19342-Ident" w:cs="*Cambria-BoldItalic-19342-Ident"/>
          <w:b/>
          <w:bCs/>
          <w:i/>
          <w:iCs/>
          <w:color w:val="000000"/>
          <w:sz w:val="32"/>
          <w:szCs w:val="32"/>
        </w:rPr>
        <w:t xml:space="preserve">r)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пробки; неполные (рис. 4.32, </w:t>
      </w:r>
      <w:r w:rsidRPr="00A80710">
        <w:rPr>
          <w:rFonts w:ascii="*Times New Roman-Italic-19336-I" w:hAnsi="*Times New Roman-Italic-19336-I" w:cs="*Times New Roman-Italic-19336-I"/>
          <w:i/>
          <w:iCs/>
          <w:color w:val="000000"/>
          <w:sz w:val="32"/>
          <w:szCs w:val="32"/>
        </w:rPr>
        <w:t xml:space="preserve">g) 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и полные (рис. 4.32, е)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шайбы.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20202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>Предпочтение отдают односторонним предельным калибрам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20202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 xml:space="preserve">(см. рис. 4.32, </w:t>
      </w:r>
      <w:r w:rsidRPr="00A80710">
        <w:rPr>
          <w:rFonts w:ascii="*Times New Roman-Italic-19336-I" w:hAnsi="*Times New Roman-Italic-19336-I" w:cs="*Times New Roman-Italic-19336-I"/>
          <w:i/>
          <w:iCs/>
          <w:color w:val="020202"/>
          <w:sz w:val="32"/>
          <w:szCs w:val="32"/>
        </w:rPr>
        <w:t xml:space="preserve">r, </w:t>
      </w:r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>е), так как они сокращают время контроля изделий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20202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20202"/>
          <w:sz w:val="32"/>
          <w:szCs w:val="32"/>
        </w:rPr>
        <w:t>и расход материала.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Для контроля валов применяют предельные и регулируемые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Microsoft Sans Serif-BoldItali" w:hAnsi="*Microsoft Sans Serif-BoldItali" w:cs="*Microsoft Sans Serif-BoldItali"/>
          <w:b/>
          <w:bCs/>
          <w:i/>
          <w:iCs/>
          <w:color w:val="010101"/>
          <w:sz w:val="32"/>
          <w:szCs w:val="32"/>
        </w:rPr>
        <w:t xml:space="preserve">калибр-скобы.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К предельным калибр-скобам относятся односторонние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(рис. 4.33, </w:t>
      </w:r>
      <w:r w:rsidRPr="00A80710">
        <w:rPr>
          <w:rFonts w:ascii="*Verdana-Italic-19339-Identity-" w:hAnsi="*Verdana-Italic-19339-Identity-" w:cs="*Verdana-Italic-19339-Identity-"/>
          <w:i/>
          <w:iCs/>
          <w:color w:val="010101"/>
          <w:sz w:val="32"/>
          <w:szCs w:val="32"/>
        </w:rPr>
        <w:t xml:space="preserve">а)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и двусторонние (рис. 4.33, б) скобы. Регулируемые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Verdana-Italic-19339-Identity-" w:hAnsi="*Verdana-Italic-19339-Identity-" w:cs="*Verdana-Italic-19339-Identity-"/>
          <w:i/>
          <w:iCs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скобы (со вставками или с передвижными губками, рис. 4.33, </w:t>
      </w:r>
      <w:r w:rsidRPr="00A80710">
        <w:rPr>
          <w:rFonts w:ascii="*Verdana-Italic-19339-Identity-" w:hAnsi="*Verdana-Italic-19339-Identity-" w:cs="*Verdana-Italic-19339-Identity-"/>
          <w:i/>
          <w:iCs/>
          <w:color w:val="010101"/>
          <w:sz w:val="32"/>
          <w:szCs w:val="32"/>
        </w:rPr>
        <w:t>в)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>позволяют компенсировать износ и могут настраиваться на раз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ные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размеры, входящие в определенные интервалы, однако имеют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меньшие по сравнению с нерегулируемыми скобами точность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</w:pP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 xml:space="preserve">и надежность и, как правило, применяются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11/</w:t>
      </w:r>
      <w:proofErr w:type="gramStart"/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",Я</w:t>
      </w:r>
      <w:proofErr w:type="gramEnd"/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 </w:t>
      </w: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>контроля размеров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</w:pP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 xml:space="preserve">с допусками не точнее </w:t>
      </w:r>
      <w:r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 xml:space="preserve">8 </w:t>
      </w: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>квалитета точности.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lastRenderedPageBreak/>
        <w:t>По назначению предельные калибры делят на рабочие, приемные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и контрольные. </w:t>
      </w:r>
      <w:r w:rsidRPr="00A80710">
        <w:rPr>
          <w:rFonts w:ascii="*Microsoft Sans Serif-BoldItali" w:hAnsi="*Microsoft Sans Serif-BoldItali" w:cs="*Microsoft Sans Serif-BoldItali"/>
          <w:b/>
          <w:bCs/>
          <w:i/>
          <w:iCs/>
          <w:color w:val="010101"/>
          <w:sz w:val="32"/>
          <w:szCs w:val="32"/>
        </w:rPr>
        <w:t xml:space="preserve">Рабочие калибры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предназначены для контроля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деталей </w:t>
      </w: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 xml:space="preserve">в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процессе </w:t>
      </w:r>
      <w:r w:rsidRPr="00A80710">
        <w:rPr>
          <w:rFonts w:ascii="*Minion Pro-Bold-19343-Identity" w:hAnsi="*Minion Pro-Bold-19343-Identity" w:cs="*Minion Pro-Bold-19343-Identity"/>
          <w:b/>
          <w:bCs/>
          <w:color w:val="010101"/>
          <w:sz w:val="32"/>
          <w:szCs w:val="32"/>
        </w:rPr>
        <w:t xml:space="preserve">их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изготовления (рис. 4.34, </w:t>
      </w:r>
      <w:r w:rsidRPr="00A80710">
        <w:rPr>
          <w:rFonts w:ascii="*Cambria-BoldItalic-19342-Ident" w:hAnsi="*Cambria-BoldItalic-19342-Ident" w:cs="*Cambria-BoldItalic-19342-Ident"/>
          <w:b/>
          <w:bCs/>
          <w:i/>
          <w:iCs/>
          <w:color w:val="010101"/>
          <w:sz w:val="32"/>
          <w:szCs w:val="32"/>
        </w:rPr>
        <w:t xml:space="preserve">а).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Ими пользуются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операторы и наладчики оборудования, а также контролеры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 xml:space="preserve">ОТК предприятия-изготовителя. </w:t>
      </w:r>
      <w:r w:rsidRPr="00A80710">
        <w:rPr>
          <w:rFonts w:ascii="*Microsoft Sans Serif-BoldItali" w:hAnsi="*Microsoft Sans Serif-BoldItali" w:cs="*Microsoft Sans Serif-BoldItali"/>
          <w:b/>
          <w:bCs/>
          <w:i/>
          <w:iCs/>
          <w:color w:val="010101"/>
          <w:sz w:val="32"/>
          <w:szCs w:val="32"/>
        </w:rPr>
        <w:t xml:space="preserve">Приемные калибры </w:t>
      </w: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применяют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10101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10101"/>
          <w:sz w:val="32"/>
          <w:szCs w:val="32"/>
        </w:rPr>
        <w:t>представители заказчика для приемки деталей (рис. 4.34, б).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Маркировка калибра предусматривает номинальный размер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детали, для которого предназначен калибр, буквенное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Bold-19343-Identity" w:hAnsi="*Minion Pro-Bold-19343-Identity" w:cs="*Minion Pro-Bold-19343-Identity"/>
          <w:b/>
          <w:bCs/>
          <w:color w:val="000000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обозначе</w:t>
      </w:r>
      <w:r w:rsidRPr="00A80710">
        <w:rPr>
          <w:rFonts w:ascii="*Minion Pro-Bold-19343-Identity" w:hAnsi="*Minion Pro-Bold-19343-Identity" w:cs="*Minion Pro-Bold-19343-Identity"/>
          <w:b/>
          <w:bCs/>
          <w:color w:val="000000"/>
          <w:sz w:val="32"/>
          <w:szCs w:val="32"/>
        </w:rPr>
        <w:t>ние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Minion Pro-Bold-19343-Identity" w:hAnsi="*Minion Pro-Bold-19343-Identity" w:cs="*Minion Pro-Bold-19343-Identity"/>
          <w:b/>
          <w:bCs/>
          <w:color w:val="000000"/>
          <w:sz w:val="32"/>
          <w:szCs w:val="32"/>
        </w:rPr>
      </w:pPr>
      <w:r w:rsidRPr="00A80710">
        <w:rPr>
          <w:rFonts w:ascii="*Minion Pro-Bold-19343-Identity" w:hAnsi="*Minion Pro-Bold-19343-Identity" w:cs="*Minion Pro-Bold-19343-Identity"/>
          <w:b/>
          <w:bCs/>
          <w:color w:val="000000"/>
          <w:sz w:val="32"/>
          <w:szCs w:val="32"/>
        </w:rPr>
        <w:t>поля допуска изделия, числовые значения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19341-Identity-H" w:hAnsi="*Cambria-19341-Identity-H" w:cs="*Cambria-19341-Identity-H"/>
          <w:color w:val="000000"/>
          <w:sz w:val="32"/>
          <w:szCs w:val="32"/>
        </w:rPr>
      </w:pPr>
      <w:r w:rsidRPr="00A80710">
        <w:rPr>
          <w:rFonts w:ascii="*Minion Pro-Bold-19343-Identity" w:hAnsi="*Minion Pro-Bold-19343-Identity" w:cs="*Minion Pro-Bold-19343-Identity"/>
          <w:b/>
          <w:bCs/>
          <w:color w:val="000000"/>
          <w:sz w:val="32"/>
          <w:szCs w:val="32"/>
        </w:rPr>
        <w:t>предельных откло</w:t>
      </w: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нений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32"/>
          <w:szCs w:val="32"/>
        </w:rPr>
      </w:pPr>
      <w:r w:rsidRPr="00A80710">
        <w:rPr>
          <w:rFonts w:ascii="*Cambria-19341-Identity-H" w:hAnsi="*Cambria-19341-Identity-H" w:cs="*Cambria-19341-Identity-H"/>
          <w:color w:val="000000"/>
          <w:sz w:val="32"/>
          <w:szCs w:val="32"/>
        </w:rPr>
        <w:t>изделия в миллиметрах (на рабочих калибрах), тип калибра</w:t>
      </w:r>
      <w:r>
        <w:rPr>
          <w:rFonts w:ascii="*Cambria-19341-Identity-H" w:hAnsi="*Cambria-19341-Identity-H" w:cs="*Cambria-19341-Identity-H"/>
          <w:color w:val="000000"/>
          <w:sz w:val="32"/>
          <w:szCs w:val="32"/>
        </w:rPr>
        <w:t xml:space="preserve"> </w:t>
      </w:r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 xml:space="preserve">(например, ПР, НЕ, </w:t>
      </w:r>
      <w:proofErr w:type="gramStart"/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К-И</w:t>
      </w:r>
      <w:proofErr w:type="gramEnd"/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) и товарный знак предприятия-изготовителя.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32"/>
          <w:szCs w:val="32"/>
        </w:rPr>
      </w:pPr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На рис. 4.35 представлены эскизы калибр-пробки (ГОСТ</w:t>
      </w:r>
    </w:p>
    <w:p w:rsidR="00A80710" w:rsidRP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32"/>
          <w:szCs w:val="32"/>
        </w:rPr>
      </w:pPr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14810-69 «Калибр-пробки гладкие двусторонние со вставками</w:t>
      </w:r>
    </w:p>
    <w:p w:rsidR="00204A8B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32"/>
          <w:szCs w:val="32"/>
        </w:rPr>
      </w:pPr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 xml:space="preserve">диаметром свыше 3 до 50 мм. Конструкция и размеры»), </w:t>
      </w:r>
      <w:proofErr w:type="spellStart"/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калибрскобы</w:t>
      </w:r>
      <w:proofErr w:type="spellEnd"/>
      <w:r>
        <w:rPr>
          <w:rFonts w:ascii="*Cambria-7352-Identity-H" w:hAnsi="*Cambria-7352-Identity-H" w:cs="*Cambria-7352-Identity-H"/>
          <w:color w:val="030303"/>
          <w:sz w:val="32"/>
          <w:szCs w:val="32"/>
        </w:rPr>
        <w:t xml:space="preserve"> </w:t>
      </w:r>
      <w:r w:rsidRPr="00A80710">
        <w:rPr>
          <w:rFonts w:ascii="*Cambria-7352-Identity-H" w:hAnsi="*Cambria-7352-Identity-H" w:cs="*Cambria-7352-Identity-H"/>
          <w:color w:val="030303"/>
          <w:sz w:val="32"/>
          <w:szCs w:val="32"/>
        </w:rPr>
        <w:t>(ГОСТ 18360-93 «Калибр-скобы листовые для диаметров</w:t>
      </w:r>
    </w:p>
    <w:p w:rsid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A80710">
        <w:rPr>
          <w:rFonts w:ascii="*Cambria-7352-Identity-H" w:hAnsi="*Cambria-7352-Identity-H" w:cs="*Cambria-7352-Identity-H"/>
          <w:noProof/>
          <w:color w:val="030303"/>
          <w:sz w:val="21"/>
          <w:szCs w:val="21"/>
          <w:lang w:eastAsia="ru-RU"/>
        </w:rPr>
        <w:lastRenderedPageBreak/>
        <w:drawing>
          <wp:inline distT="0" distB="0" distL="0" distR="0">
            <wp:extent cx="5940373" cy="84010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4"/>
                    <a:stretch/>
                  </pic:blipFill>
                  <pic:spPr bwMode="auto">
                    <a:xfrm>
                      <a:off x="0" y="0"/>
                      <a:ext cx="5940425" cy="84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A80710">
        <w:rPr>
          <w:rFonts w:ascii="*Cambria-7352-Identity-H" w:hAnsi="*Cambria-7352-Identity-H" w:cs="*Cambria-7352-Identity-H"/>
          <w:noProof/>
          <w:color w:val="030303"/>
          <w:sz w:val="21"/>
          <w:szCs w:val="21"/>
          <w:lang w:eastAsia="ru-RU"/>
        </w:rPr>
        <w:lastRenderedPageBreak/>
        <w:drawing>
          <wp:inline distT="0" distB="0" distL="0" distR="0">
            <wp:extent cx="5940137" cy="84582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1"/>
                    <a:stretch/>
                  </pic:blipFill>
                  <pic:spPr bwMode="auto">
                    <a:xfrm>
                      <a:off x="0" y="0"/>
                      <a:ext cx="5940425" cy="845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710" w:rsidRDefault="00A80710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A80710">
        <w:rPr>
          <w:rFonts w:ascii="*Cambria-7352-Identity-H" w:hAnsi="*Cambria-7352-Identity-H" w:cs="*Cambria-7352-Identity-H"/>
          <w:noProof/>
          <w:color w:val="030303"/>
          <w:sz w:val="21"/>
          <w:szCs w:val="21"/>
          <w:lang w:eastAsia="ru-RU"/>
        </w:rPr>
        <w:lastRenderedPageBreak/>
        <w:drawing>
          <wp:inline distT="0" distB="0" distL="0" distR="0">
            <wp:extent cx="5940208" cy="822007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0"/>
                    <a:stretch/>
                  </pic:blipFill>
                  <pic:spPr bwMode="auto">
                    <a:xfrm>
                      <a:off x="0" y="0"/>
                      <a:ext cx="5940425" cy="82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51B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87451B">
        <w:rPr>
          <w:rFonts w:ascii="*Cambria-7352-Identity-H" w:hAnsi="*Cambria-7352-Identity-H" w:cs="*Cambria-7352-Identity-H"/>
          <w:noProof/>
          <w:color w:val="030303"/>
          <w:sz w:val="21"/>
          <w:szCs w:val="21"/>
          <w:lang w:eastAsia="ru-RU"/>
        </w:rPr>
        <w:lastRenderedPageBreak/>
        <w:drawing>
          <wp:inline distT="0" distB="0" distL="0" distR="0">
            <wp:extent cx="5940249" cy="86677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2"/>
                    <a:stretch/>
                  </pic:blipFill>
                  <pic:spPr bwMode="auto">
                    <a:xfrm>
                      <a:off x="0" y="0"/>
                      <a:ext cx="5940425" cy="86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51B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b/>
          <w:color w:val="030303"/>
          <w:sz w:val="32"/>
          <w:szCs w:val="32"/>
        </w:rPr>
      </w:pPr>
    </w:p>
    <w:p w:rsidR="0087451B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b/>
          <w:color w:val="030303"/>
          <w:sz w:val="32"/>
          <w:szCs w:val="32"/>
        </w:rPr>
      </w:pPr>
    </w:p>
    <w:p w:rsidR="0087451B" w:rsidRPr="0087451B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b/>
          <w:color w:val="030303"/>
          <w:sz w:val="32"/>
          <w:szCs w:val="32"/>
        </w:rPr>
      </w:pPr>
      <w:r>
        <w:rPr>
          <w:rFonts w:ascii="*Cambria-7352-Identity-H" w:hAnsi="*Cambria-7352-Identity-H" w:cs="*Cambria-7352-Identity-H"/>
          <w:b/>
          <w:color w:val="030303"/>
          <w:sz w:val="32"/>
          <w:szCs w:val="32"/>
        </w:rPr>
        <w:lastRenderedPageBreak/>
        <w:t>Задания: ответить на контрольные вопросы до 27.04.2020</w:t>
      </w:r>
    </w:p>
    <w:p w:rsidR="0087451B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r w:rsidRPr="0087451B">
        <w:rPr>
          <w:rFonts w:ascii="*Cambria-7352-Identity-H" w:hAnsi="*Cambria-7352-Identity-H" w:cs="*Cambria-7352-Identity-H"/>
          <w:noProof/>
          <w:color w:val="030303"/>
          <w:sz w:val="21"/>
          <w:szCs w:val="21"/>
          <w:lang w:eastAsia="ru-RU"/>
        </w:rPr>
        <w:drawing>
          <wp:inline distT="0" distB="0" distL="0" distR="0">
            <wp:extent cx="5940039" cy="206692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47"/>
                    <a:stretch/>
                  </pic:blipFill>
                  <pic:spPr bwMode="auto">
                    <a:xfrm>
                      <a:off x="0" y="0"/>
                      <a:ext cx="5940425" cy="206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51B" w:rsidRPr="00067BA6" w:rsidRDefault="0087451B" w:rsidP="008745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почту:</w:t>
      </w:r>
      <w:r w:rsidRPr="00067BA6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ieliena</w:t>
      </w:r>
      <w:proofErr w:type="spellEnd"/>
      <w:r w:rsidRPr="00067BA6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zhukova</w:t>
      </w:r>
      <w:proofErr w:type="spellEnd"/>
      <w:r w:rsidRPr="00067BA6">
        <w:rPr>
          <w:b/>
          <w:sz w:val="32"/>
          <w:szCs w:val="32"/>
        </w:rPr>
        <w:t>.64</w:t>
      </w:r>
      <w:r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mail</w:t>
      </w:r>
      <w:r w:rsidRPr="00067BA6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</w:p>
    <w:p w:rsidR="0087451B" w:rsidRPr="00067BA6" w:rsidRDefault="0087451B" w:rsidP="0087451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Или по номеру тел: 89082004500(</w:t>
      </w:r>
      <w:proofErr w:type="spellStart"/>
      <w:r>
        <w:rPr>
          <w:b/>
          <w:sz w:val="32"/>
          <w:szCs w:val="32"/>
        </w:rPr>
        <w:t>вайбер</w:t>
      </w:r>
      <w:proofErr w:type="spellEnd"/>
      <w:r>
        <w:rPr>
          <w:b/>
          <w:sz w:val="32"/>
          <w:szCs w:val="32"/>
        </w:rPr>
        <w:t xml:space="preserve"> или </w:t>
      </w:r>
      <w:proofErr w:type="spellStart"/>
      <w:r>
        <w:rPr>
          <w:b/>
          <w:sz w:val="32"/>
          <w:szCs w:val="32"/>
        </w:rPr>
        <w:t>ватцап</w:t>
      </w:r>
      <w:proofErr w:type="spellEnd"/>
      <w:r>
        <w:rPr>
          <w:b/>
          <w:sz w:val="32"/>
          <w:szCs w:val="32"/>
        </w:rPr>
        <w:t>)</w:t>
      </w:r>
    </w:p>
    <w:p w:rsidR="0087451B" w:rsidRPr="00A80710" w:rsidRDefault="0087451B" w:rsidP="00A80710">
      <w:pPr>
        <w:autoSpaceDE w:val="0"/>
        <w:autoSpaceDN w:val="0"/>
        <w:adjustRightInd w:val="0"/>
        <w:spacing w:after="0" w:line="240" w:lineRule="auto"/>
        <w:rPr>
          <w:rFonts w:ascii="*Cambria-7352-Identity-H" w:hAnsi="*Cambria-7352-Identity-H" w:cs="*Cambria-7352-Identity-H"/>
          <w:color w:val="030303"/>
          <w:sz w:val="21"/>
          <w:szCs w:val="21"/>
        </w:rPr>
      </w:pPr>
      <w:bookmarkStart w:id="0" w:name="_GoBack"/>
      <w:bookmarkEnd w:id="0"/>
    </w:p>
    <w:sectPr w:rsidR="0087451B" w:rsidRPr="00A8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*Minion Pro-19096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Verdana-BoldItalic-19094-Ide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Cambria-19341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Times New Roman-Italic-19337-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Microsoft Sans Serif-BoldItal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Cambria-BoldItalic-19342-Iden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Times New Roman-Italic-19336-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Verdana-Italic-19339-Identity-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Minion Pro-Bold-19343-Identit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*Cambria-7352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3"/>
    <w:rsid w:val="00204A8B"/>
    <w:rsid w:val="004F1903"/>
    <w:rsid w:val="0087451B"/>
    <w:rsid w:val="00A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06A8-C053-492A-BA38-B1901CE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3</cp:revision>
  <dcterms:created xsi:type="dcterms:W3CDTF">2020-04-23T06:55:00Z</dcterms:created>
  <dcterms:modified xsi:type="dcterms:W3CDTF">2020-04-23T07:09:00Z</dcterms:modified>
</cp:coreProperties>
</file>