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4C" w:rsidRPr="000B3DF7" w:rsidRDefault="002F17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ДВИЖЕНИЯ МАШИННО – ТРАКТОРНЫХ АГРЕГАТОВ </w:t>
      </w:r>
    </w:p>
    <w:p w:rsidR="000B3DF7" w:rsidRDefault="002F17E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Под способом движения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тракторного понимается характер выполнения агрегатом основной (полезной) работы в загоне (пахота, боронование, посев, уборка, и т.д.) и вспомогательной, необходимой для проведения основной (повороты, развороты, заезды), работы на поле.</w:t>
      </w:r>
      <w:proofErr w:type="gram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Из всей продолжительности рабочей смены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- тракторного время на выполнение основной работы составляет 40% - 74% (пахота 66% - 74%, посев 55% - 64%, посадка 46% - 51%, междурядная обработка 50% - 72%, уборка зерновых 40% - 70%, уборка картофеля 2 рядным комбайном 39% - 69%, внесение минеральных удобрений 39% - 59%). Значительная часть времени 5 – 6% затрачивается на повороты, холостые переезды, на переезды с загонки на загонку и другие переезды в зависимости от выполнения технологического процесса. Сокращение времени на эти процессы – резерв повышения производительности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тракторного агрегата. А это возможно лишь при знании элементов движения и кинематических характеристик агрегата, основных видов поворота и способов движения агрегатов и необходимой подготовки поля к работе</w:t>
      </w:r>
      <w:r w:rsidRPr="002F1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DF7" w:rsidRPr="000B3DF7" w:rsidRDefault="002F17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ДВИЖЕНИЯ И КИНЕМАТИЧЕСКИЕ ХАРАКТЕРИСТИКИ АГРЕГАТА </w:t>
      </w:r>
    </w:p>
    <w:p w:rsidR="000B3DF7" w:rsidRDefault="002F17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</w:t>
      </w:r>
      <w:proofErr w:type="spellStart"/>
      <w:r w:rsidRPr="002F17ED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тракторного агрегата в поле выделяют два основных элемента движения агрегата: рабочий ход и холостой ход.</w:t>
      </w:r>
    </w:p>
    <w:p w:rsidR="000B3DF7" w:rsidRDefault="002F17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ход </w:t>
      </w:r>
      <w:proofErr w:type="gramStart"/>
      <w:r w:rsidRPr="002F17ED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то движение МТА, при котором выполняется непосредственная технологическая операция – пахота, посев, культивация, скашивание, выкопка </w:t>
      </w:r>
      <w:proofErr w:type="spellStart"/>
      <w:r w:rsidRPr="002F17ED">
        <w:rPr>
          <w:rFonts w:ascii="Times New Roman" w:hAnsi="Times New Roman" w:cs="Times New Roman"/>
          <w:color w:val="000000"/>
          <w:sz w:val="28"/>
          <w:szCs w:val="28"/>
        </w:rPr>
        <w:t>корнеклубнеплодов</w:t>
      </w:r>
      <w:proofErr w:type="spellEnd"/>
      <w:r w:rsidRPr="002F17ED">
        <w:rPr>
          <w:rFonts w:ascii="Times New Roman" w:hAnsi="Times New Roman" w:cs="Times New Roman"/>
          <w:color w:val="000000"/>
          <w:sz w:val="28"/>
          <w:szCs w:val="28"/>
        </w:rPr>
        <w:t xml:space="preserve"> и т.п. </w:t>
      </w:r>
    </w:p>
    <w:p w:rsidR="000B3DF7" w:rsidRDefault="002F17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17ED">
        <w:rPr>
          <w:rFonts w:ascii="Times New Roman" w:hAnsi="Times New Roman" w:cs="Times New Roman"/>
          <w:color w:val="000000"/>
          <w:sz w:val="28"/>
          <w:szCs w:val="28"/>
        </w:rPr>
        <w:t>Холостой ход – это движения, при котором полезная работа по данной технологической операции не выполняется. Холостые виды движения можно разделить на две группы</w:t>
      </w:r>
    </w:p>
    <w:p w:rsidR="000B3DF7" w:rsidRPr="000B3DF7" w:rsidRDefault="002F17ED" w:rsidP="000B3DF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>холостые ходы, связанные с рабочими процессами (холостые заезды и повороты при производительной работе на загонах или у мест погрузки удобрений, произведенной продукции и т.п.);</w:t>
      </w:r>
    </w:p>
    <w:p w:rsidR="000B3DF7" w:rsidRPr="000B3DF7" w:rsidRDefault="002F17ED" w:rsidP="000B3D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вспомогательные холостые ходы при переезде с места стоянии МТА к полю, при переезде с одного поля на другое и т.п. 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B3DF7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Первый вид холостого движения зависит от форм движения агрегата, размеров и конфигурации загона и кинематических характеристик самого МТА, от геометрических форм и размеров элементов, из 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складывается его движение. Траектория движения агрегата при выполнении с/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работ состоит из прямолинейных отрезков (движение по прямой линии) и из криволинейных (криволинейное движение вокруг некоторых центров). </w:t>
      </w:r>
    </w:p>
    <w:p w:rsidR="000B3DF7" w:rsidRDefault="002F17ED" w:rsidP="000B3DF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Кинематическими характеристиками </w:t>
      </w:r>
      <w:proofErr w:type="spellStart"/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>машинно</w:t>
      </w:r>
      <w:proofErr w:type="spellEnd"/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тракторного агрегата являются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: Радиус и центр поворота;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Длинна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выезда агрегата из борозды для разворота; 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Кинематический центр; 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Кинематические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длинна и ширина; 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Ширина колеи и величина продольной базы трактора (комбайна); 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Ширина захвата агрегата. </w:t>
      </w:r>
    </w:p>
    <w:p w:rsidR="000B3DF7" w:rsidRDefault="000B3DF7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B3DF7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Радиусом поворота (R) агрегата называю расстояние от центра агрегата до точки, вокруг которой происходит поворот агрегата.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>Центром поворота агрегата</w:t>
      </w:r>
      <w:r w:rsidR="000B3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3DF7">
        <w:rPr>
          <w:rFonts w:ascii="Times New Roman" w:hAnsi="Times New Roman" w:cs="Times New Roman"/>
          <w:b/>
          <w:color w:val="000000"/>
          <w:sz w:val="28"/>
          <w:szCs w:val="28"/>
        </w:rPr>
        <w:t>называю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точку</w:t>
      </w:r>
      <w:proofErr w:type="gram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proofErr w:type="gram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, вокруг которой происходи движение центра агрегата по дуге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радиусомR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Кинематическим центром агрегата</w:t>
      </w:r>
      <w:r w:rsid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называют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условную геометрическую точку на плоскости движения (поверхности поля) траектория которой рассматривается как траектория МТА при движении по полю.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агрегата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gram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0B3DF7">
        <w:rPr>
          <w:rFonts w:ascii="Times New Roman" w:hAnsi="Times New Roman" w:cs="Times New Roman"/>
          <w:color w:val="000000"/>
          <w:sz w:val="28"/>
          <w:szCs w:val="28"/>
        </w:rPr>
        <w:t>на располагается на середине ведущей оси колесного трактора с жесткой рамой (МТЗ-80); в центре шарнира для тракторов с шарнирно – сочлененной рамой (Т-150К); точки пересечения диагоналей, проведенных через края гусениц – для гусеничных тракторов.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Кинематическая длинна агрегата</w:t>
      </w:r>
      <w:r w:rsid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называю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проекцию расстояния между центром агрегата и линией, перпендикулярной продольной оси трактора и проходящей через наиболее удаленные по ходу МТА точки рабочих органов машины при прямолинейном движении. 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Кинематическая </w:t>
      </w:r>
      <w:proofErr w:type="gramStart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длинна агрегата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равна</w:t>
      </w:r>
      <w:proofErr w:type="gram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сумме кинематических длин трактора, сцепки и рабочей сельскохозяйственной машины (орудия). Расстояние е от центра агрегата до самых крайних (позади агрегата) рабочих органов сельскохозяйственных машин называю длинной выезда агрегата. Она характеризует длину, на которую необходимо переместить центр агрегата от линии начала работы, с целью вывода рабочих органов сельскохозяйственной машины или орудия на линию начала или окончания работы.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Кинематической шириной агрегата</w:t>
      </w:r>
      <w:r w:rsid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расстояние между проектами на поверхность поля продольной оси трактора и параллельной линии, проходящей через наиболее удаленную точку агрегата. Ширина колеи, величина продольной базы трактора, ширина захвата МТА являются основой для расчета поворотной полосы. 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виды поворотов </w:t>
      </w:r>
      <w:proofErr w:type="spellStart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машинно</w:t>
      </w:r>
      <w:proofErr w:type="spellEnd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тракторных агрегатов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28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12895">
        <w:rPr>
          <w:rFonts w:ascii="Times New Roman" w:hAnsi="Times New Roman" w:cs="Times New Roman"/>
          <w:color w:val="000000"/>
          <w:sz w:val="28"/>
          <w:szCs w:val="28"/>
        </w:rPr>
        <w:t>рис 1)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тракторных агрегатов в поле он совершает прямолинейные ходы (движения) вдоль гона и повороты на конце гона.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поворотов, применяемыми при заездах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тракторного агрегата для работы на делянку (поле) являются повороты на 90 и на 180.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на 90 совершают при холостых заездах с выключенными рабочими органами машин или орудий или при круговой работе без выключения.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на 180 производятся, главным образом, при холостых заездах во время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гоновой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работы.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расстояния между рабочими ходами агрегата, заезды при поворотах бываю петлевые и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беспетлевые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Петлевые повороты по форме могут быть грушевидные,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восьмеркообразные</w:t>
      </w:r>
      <w:proofErr w:type="spellEnd"/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грибовидные.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Наименьшая длина холостого хода достигается, если поворот произведен с кривизной, равной наименьшему радиусу агрегата. При последующих поворотах расстояние между началом петлевого заезда и его концом увеличивается. Средняя длина петлевого заезда не зависит от соотношения между захватом агрегата и его радиусом и может быть принята равной при заезде грушевидной петлей 6R, а при заезде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восьмеркообразной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петлей – 8,4R. Следовательно, петлевые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восьмеркообразные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повороты имеют большую длину заездов, и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не выгодны в сравнении с грушевидными. Петлевые повороты перестаю быть выгодными, когда расстояние между началом и концом заезда достигает 2R. С дальнейшим увеличением ширины обрабатываемой полосы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беспетлевой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поворот будет состоять из двух поворотов на 90 и прямолинейного отрезка, длинна которого зависит от ширины делянки. Длина холостых заездов зависит от расстояния между началом и концом заезда, величины радиуса поворота и величины заезда. Грибовидные способы поворота применяют при работе тракторов с навесными машинами и орудиями, при использовании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ширину поворотной полосы.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Способы движения </w:t>
      </w:r>
      <w:proofErr w:type="spellStart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машинно</w:t>
      </w:r>
      <w:proofErr w:type="spellEnd"/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тракторного агрегата и их выбор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895">
        <w:rPr>
          <w:rFonts w:ascii="Times New Roman" w:hAnsi="Times New Roman" w:cs="Times New Roman"/>
          <w:color w:val="000000"/>
          <w:sz w:val="28"/>
          <w:szCs w:val="28"/>
        </w:rPr>
        <w:t>(рис 15)</w:t>
      </w:r>
      <w:r w:rsidRPr="00A811C6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способа движения </w:t>
      </w:r>
      <w:proofErr w:type="spellStart"/>
      <w:r w:rsidRPr="00A811C6">
        <w:rPr>
          <w:rFonts w:ascii="Times New Roman" w:hAnsi="Times New Roman" w:cs="Times New Roman"/>
          <w:color w:val="000000"/>
          <w:sz w:val="28"/>
          <w:szCs w:val="28"/>
        </w:rPr>
        <w:t>машинно</w:t>
      </w:r>
      <w:proofErr w:type="spellEnd"/>
      <w:r w:rsidRPr="00A811C6">
        <w:rPr>
          <w:rFonts w:ascii="Times New Roman" w:hAnsi="Times New Roman" w:cs="Times New Roman"/>
          <w:color w:val="000000"/>
          <w:sz w:val="28"/>
          <w:szCs w:val="28"/>
        </w:rPr>
        <w:t xml:space="preserve"> – тракторного агрегата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полевых работ: </w:t>
      </w:r>
      <w:proofErr w:type="spellStart"/>
      <w:r w:rsidRPr="000B3DF7">
        <w:rPr>
          <w:rFonts w:ascii="Times New Roman" w:hAnsi="Times New Roman" w:cs="Times New Roman"/>
          <w:color w:val="000000"/>
          <w:sz w:val="28"/>
          <w:szCs w:val="28"/>
        </w:rPr>
        <w:t>гоновой</w:t>
      </w:r>
      <w:proofErr w:type="spellEnd"/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, круговой (фигурный) и диагональный.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Гоновый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способ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то когда агрегат совершает прямолинейные рабочие ходы вдоль загона или под углом к продольной линии загона с холостыми поворотами и заездами у поперечных краев загонов. На конце поля агрегат совершает поворот на 180. Наиболее типичным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гоновым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петлевым способом движения является движени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е“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челноком”. При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гоновых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способах движения на краях загонов необходимо оставлять место для поворотной полосы (для совершения агрегатом заездов и поворотов). Ширина поворотной полосы зависит от ширины захвата агрегата, величины выезда агрегата и формы и холостых заездов. Обработка (заделка) поворотных полос после выполнения работ на всем поле (участке) производится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гоновым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или в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круговую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При круговом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способедвижения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агрегат совершает движение параллельно сторонам загона, непрерывно в одном направлении по спирали от периферии к центру или от центра к периферии. Траектория движения МТА от периферии к центру представляет собой свертывающуюся спираль, а при движении от центра к периферии – развертывающуюся спираль, начинающуюся от центральной площадки. Работа МТА по круговому способу движения выгодна на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прямоугльных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загонах с соотношением сторон не менее 4:1. Круговой способ движения применяют, например, на кошении трав, при комбайновой уборке зерновых, бороновании,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дисковании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диагональном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способедвижения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агрегат совершает рабочий ход под углом к длинным сторонам загона (участка). Первый проход делают по диагонали, затем обрабатывают одну сторону поля, а после другую. Движение производится ’’челноком’’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. При диагональном </w:t>
      </w:r>
      <w:proofErr w:type="spell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односледном</w:t>
      </w:r>
      <w:proofErr w:type="spell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способе движения имеют место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повороты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как по часовой стрелке, так и против часовой стрелки, и один поворот, связанный с переездом на другую сторону от первого прохода по диагонали, для обработки второй половины поля. Для высокого качества выполнения технологического процесса при оптимальном исполнении МТА при диагональном способе движения необходимо стремится к тому, чтобы загоны имели форму, близкую к квадрату. Разновидностью диагонального способа движения МТА является диагонально – перекрестный способ движения, когда агрегат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 из машин и орудий, расположенных в один ряд, а необходимую обработку проводят в два след. При этом способе агрегат начинает движение по диагонали и продолжает его, поворачиваясь при достижении противоположных сторон загона. В результате такого способа движения образуются перекрещивающиеся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ходы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и поле обрабатывается в два следа. Как для диагонального, так и для диагонально - перекрестного способа движения оптимальной формой является </w:t>
      </w:r>
      <w:proofErr w:type="gramStart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>квадратная</w:t>
      </w:r>
      <w:proofErr w:type="gramEnd"/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поле прямоугольной формы разбивают на части, близкие к квадратам, и движение совершают. При диагонально – перекрестном способе движения МТА поворотных полос не делают, а обозначаю границы поля, выделенного под данный способ. При диагонально – перекрестном способе движения повороты производятся без перерыва рабочего процесса. 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7ED" w:rsidRPr="00A811C6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поля к выполнению работ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>Подготовка поля к выполнению работ заключаются в проведении организационно – технических мероприятий, направленных на повышение производительности используемой технике при высоком качестве выполнении работ, исключении непроизвольных передвижений агрегатов, сокращение их простоя, сокращение потерь продукции и нанесение наименьшего ущерба окружающей среде.</w:t>
      </w:r>
    </w:p>
    <w:p w:rsidR="00A811C6" w:rsidRDefault="00A811C6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F17ED"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работы по подготовке поля входит: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>освобождение поля от лишних предметов, мешающих проведению работ (солома, крупногабаритные камни, бетонные плиты, металлические конструкции, упавшие деревья);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выбор способа и направление движения конкретно по месту проведения работ; 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>выравнивание или заделка промоин, глубоких каналов, отвод воды с поворотных полос, если это возможно;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разметка поля;</w:t>
      </w:r>
    </w:p>
    <w:p w:rsidR="00A811C6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качества проведения предшествующей обработки поля; подготовка подъездных путей, съездов</w:t>
      </w:r>
    </w:p>
    <w:p w:rsidR="00A811C6" w:rsidRPr="00A811C6" w:rsidRDefault="002F17ED" w:rsidP="00A811C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color w:val="000000"/>
          <w:sz w:val="28"/>
          <w:szCs w:val="28"/>
        </w:rPr>
        <w:t>Выбор способа и направления движения проводят в соответствии с соображениями, изложенными в предыдущем параграфе данной главы. Выравнивание поля проводят с применением борон, культиваторов, бульдозеров и других машин в зависимости от величины канав и неровностей. Отвод воды из лужи на концах полей производят рытьем отводных канавок вручную или с применением механизмов</w:t>
      </w: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A5EB4" w:rsidRDefault="002F17ED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811C6">
        <w:rPr>
          <w:rFonts w:ascii="Times New Roman" w:hAnsi="Times New Roman" w:cs="Times New Roman"/>
          <w:b/>
          <w:color w:val="000000"/>
          <w:sz w:val="28"/>
          <w:szCs w:val="28"/>
        </w:rPr>
        <w:t>Разметка поля</w:t>
      </w:r>
      <w:r w:rsidR="00A81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выделение поворотной полосы, разбивку поля на загоны, разметку мест для подготовки и заправки агрегатов </w:t>
      </w:r>
      <w:r w:rsidRPr="000B3D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технологическим материалом (рабочей жидкостью, растворами, семенами, удобрениями и т.п.), месс разгрузки бункеров, проведение контрольной линии и линии первого прохода. Ширина поворотной полосы выбирается в зависимости от габаритных размеров МТА, выбранного способа движения и формы поворота. Подготовка подъездных путей и съездов, планировка площадок технологического и технического обслуживания проведения с целью исключения поломок техники, сокращения времени на въезды техники и исключения пересечения маршрутов. Планировку площадок и подъездных путей проводят грейдерами и бульдозерами. В зависимости о выполняемой технологической операции перечень подготовительных операций отличается по набору работ. </w:t>
      </w:r>
    </w:p>
    <w:p w:rsidR="00F12895" w:rsidRDefault="00F12895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12895" w:rsidRDefault="00F12895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12895" w:rsidRDefault="00F12895" w:rsidP="000B3DF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811C6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057400"/>
            <wp:effectExtent l="19050" t="0" r="9525" b="0"/>
            <wp:docPr id="1" name="Рисунок 1" descr="C:\Users\Пользователь\Downloads\046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46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95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95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95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95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21537"/>
            <wp:effectExtent l="19050" t="0" r="3175" b="0"/>
            <wp:docPr id="2" name="Рисунок 2" descr="C:\Users\Пользователь\Downloads\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age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95" w:rsidRDefault="00F12895" w:rsidP="000B3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1C6" w:rsidRDefault="00A811C6" w:rsidP="000B3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1C6" w:rsidRDefault="00A811C6" w:rsidP="000B3D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задание.</w:t>
      </w:r>
    </w:p>
    <w:p w:rsidR="00A811C6" w:rsidRPr="00A811C6" w:rsidRDefault="00A811C6" w:rsidP="00A811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</w:p>
    <w:p w:rsidR="00A811C6" w:rsidRPr="000B3DF7" w:rsidRDefault="00A811C6" w:rsidP="00A811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Зарисовать способы поворотов и  способы движения </w:t>
      </w:r>
    </w:p>
    <w:sectPr w:rsidR="00A811C6" w:rsidRPr="000B3DF7" w:rsidSect="00FA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CB7"/>
    <w:multiLevelType w:val="hybridMultilevel"/>
    <w:tmpl w:val="484610CA"/>
    <w:lvl w:ilvl="0" w:tplc="D026EB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63435"/>
    <w:multiLevelType w:val="hybridMultilevel"/>
    <w:tmpl w:val="CBA8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ED"/>
    <w:rsid w:val="00002144"/>
    <w:rsid w:val="00004621"/>
    <w:rsid w:val="00012EB0"/>
    <w:rsid w:val="00014B0F"/>
    <w:rsid w:val="00022088"/>
    <w:rsid w:val="00022CE2"/>
    <w:rsid w:val="00032223"/>
    <w:rsid w:val="00034A2C"/>
    <w:rsid w:val="00035BB5"/>
    <w:rsid w:val="00040D98"/>
    <w:rsid w:val="00045B9F"/>
    <w:rsid w:val="00056391"/>
    <w:rsid w:val="000569B4"/>
    <w:rsid w:val="000579A3"/>
    <w:rsid w:val="000716C8"/>
    <w:rsid w:val="000729BD"/>
    <w:rsid w:val="000856E9"/>
    <w:rsid w:val="00090B94"/>
    <w:rsid w:val="000B3DF7"/>
    <w:rsid w:val="000C3F6F"/>
    <w:rsid w:val="000D643D"/>
    <w:rsid w:val="000D7AE0"/>
    <w:rsid w:val="000F0E28"/>
    <w:rsid w:val="000F59F9"/>
    <w:rsid w:val="0011460B"/>
    <w:rsid w:val="00114C45"/>
    <w:rsid w:val="00125BA4"/>
    <w:rsid w:val="001262C4"/>
    <w:rsid w:val="001268F4"/>
    <w:rsid w:val="00136BD4"/>
    <w:rsid w:val="00140F1E"/>
    <w:rsid w:val="00141D7F"/>
    <w:rsid w:val="00150698"/>
    <w:rsid w:val="00152641"/>
    <w:rsid w:val="00161669"/>
    <w:rsid w:val="0016204F"/>
    <w:rsid w:val="00167CFC"/>
    <w:rsid w:val="00171684"/>
    <w:rsid w:val="00173277"/>
    <w:rsid w:val="00180515"/>
    <w:rsid w:val="00192E31"/>
    <w:rsid w:val="00195626"/>
    <w:rsid w:val="001B0B42"/>
    <w:rsid w:val="001B1120"/>
    <w:rsid w:val="001C7698"/>
    <w:rsid w:val="001F3DA9"/>
    <w:rsid w:val="001F54BC"/>
    <w:rsid w:val="001F7E6C"/>
    <w:rsid w:val="0020256E"/>
    <w:rsid w:val="002057E4"/>
    <w:rsid w:val="00205FDB"/>
    <w:rsid w:val="002130BA"/>
    <w:rsid w:val="0021396B"/>
    <w:rsid w:val="00214CB7"/>
    <w:rsid w:val="00215B55"/>
    <w:rsid w:val="00226C1E"/>
    <w:rsid w:val="00226D04"/>
    <w:rsid w:val="002467C1"/>
    <w:rsid w:val="00262BCA"/>
    <w:rsid w:val="0026357A"/>
    <w:rsid w:val="00270E95"/>
    <w:rsid w:val="00277043"/>
    <w:rsid w:val="0028063E"/>
    <w:rsid w:val="00285249"/>
    <w:rsid w:val="00287250"/>
    <w:rsid w:val="00297081"/>
    <w:rsid w:val="002A2B24"/>
    <w:rsid w:val="002A306F"/>
    <w:rsid w:val="002A4DAF"/>
    <w:rsid w:val="002B4ED9"/>
    <w:rsid w:val="002D27EA"/>
    <w:rsid w:val="002E4A82"/>
    <w:rsid w:val="002E7F8B"/>
    <w:rsid w:val="002F0BD8"/>
    <w:rsid w:val="002F17ED"/>
    <w:rsid w:val="003009AE"/>
    <w:rsid w:val="00300F96"/>
    <w:rsid w:val="0030686E"/>
    <w:rsid w:val="003077C6"/>
    <w:rsid w:val="00317F8C"/>
    <w:rsid w:val="003243FD"/>
    <w:rsid w:val="0032620F"/>
    <w:rsid w:val="00330889"/>
    <w:rsid w:val="00332ED7"/>
    <w:rsid w:val="00334C38"/>
    <w:rsid w:val="00334F03"/>
    <w:rsid w:val="00357930"/>
    <w:rsid w:val="00361F31"/>
    <w:rsid w:val="00374DF0"/>
    <w:rsid w:val="003820E9"/>
    <w:rsid w:val="003876C5"/>
    <w:rsid w:val="00393462"/>
    <w:rsid w:val="003970BE"/>
    <w:rsid w:val="003A7F36"/>
    <w:rsid w:val="003B0C73"/>
    <w:rsid w:val="003B0D17"/>
    <w:rsid w:val="003C077D"/>
    <w:rsid w:val="003C13A6"/>
    <w:rsid w:val="003D01EE"/>
    <w:rsid w:val="003F1E1F"/>
    <w:rsid w:val="003F1EA5"/>
    <w:rsid w:val="003F342E"/>
    <w:rsid w:val="003F533A"/>
    <w:rsid w:val="00401BEC"/>
    <w:rsid w:val="00402AAB"/>
    <w:rsid w:val="00402BDE"/>
    <w:rsid w:val="0040566B"/>
    <w:rsid w:val="00432E4D"/>
    <w:rsid w:val="00444C69"/>
    <w:rsid w:val="00446E72"/>
    <w:rsid w:val="00453E32"/>
    <w:rsid w:val="004615AF"/>
    <w:rsid w:val="00463158"/>
    <w:rsid w:val="00464060"/>
    <w:rsid w:val="00466EAF"/>
    <w:rsid w:val="00471BB2"/>
    <w:rsid w:val="00471F1A"/>
    <w:rsid w:val="004809D8"/>
    <w:rsid w:val="00481EEB"/>
    <w:rsid w:val="00484EEE"/>
    <w:rsid w:val="00490C95"/>
    <w:rsid w:val="004C092B"/>
    <w:rsid w:val="004C1E18"/>
    <w:rsid w:val="004D47DE"/>
    <w:rsid w:val="004E4EB5"/>
    <w:rsid w:val="004E692A"/>
    <w:rsid w:val="004F22F4"/>
    <w:rsid w:val="00502DBC"/>
    <w:rsid w:val="005071E9"/>
    <w:rsid w:val="005348E4"/>
    <w:rsid w:val="005356F2"/>
    <w:rsid w:val="00537722"/>
    <w:rsid w:val="00537C4F"/>
    <w:rsid w:val="00543515"/>
    <w:rsid w:val="00557FD8"/>
    <w:rsid w:val="0056334F"/>
    <w:rsid w:val="0056745A"/>
    <w:rsid w:val="0057574B"/>
    <w:rsid w:val="00576911"/>
    <w:rsid w:val="00580990"/>
    <w:rsid w:val="005813F3"/>
    <w:rsid w:val="005850C0"/>
    <w:rsid w:val="00585102"/>
    <w:rsid w:val="005901D1"/>
    <w:rsid w:val="00590894"/>
    <w:rsid w:val="005A789B"/>
    <w:rsid w:val="005B1898"/>
    <w:rsid w:val="005B28AC"/>
    <w:rsid w:val="005B4412"/>
    <w:rsid w:val="005B7CF4"/>
    <w:rsid w:val="005C0D8D"/>
    <w:rsid w:val="005C101B"/>
    <w:rsid w:val="005D738C"/>
    <w:rsid w:val="005E0DA1"/>
    <w:rsid w:val="005E166F"/>
    <w:rsid w:val="00610EDD"/>
    <w:rsid w:val="00612E23"/>
    <w:rsid w:val="00632214"/>
    <w:rsid w:val="00637DE4"/>
    <w:rsid w:val="006461B7"/>
    <w:rsid w:val="0064671C"/>
    <w:rsid w:val="00650843"/>
    <w:rsid w:val="00652210"/>
    <w:rsid w:val="00654252"/>
    <w:rsid w:val="00654688"/>
    <w:rsid w:val="0065700B"/>
    <w:rsid w:val="00661E41"/>
    <w:rsid w:val="00677692"/>
    <w:rsid w:val="00680893"/>
    <w:rsid w:val="0068250A"/>
    <w:rsid w:val="006845E1"/>
    <w:rsid w:val="00686AE5"/>
    <w:rsid w:val="00693D6B"/>
    <w:rsid w:val="00695B68"/>
    <w:rsid w:val="006A412D"/>
    <w:rsid w:val="006B72E2"/>
    <w:rsid w:val="006C1C3F"/>
    <w:rsid w:val="006C3913"/>
    <w:rsid w:val="006C70FB"/>
    <w:rsid w:val="006D3CE0"/>
    <w:rsid w:val="006E19CC"/>
    <w:rsid w:val="006E3A77"/>
    <w:rsid w:val="006E3ACC"/>
    <w:rsid w:val="006E4B66"/>
    <w:rsid w:val="006F1E9B"/>
    <w:rsid w:val="006F6C90"/>
    <w:rsid w:val="00704B6B"/>
    <w:rsid w:val="00724C11"/>
    <w:rsid w:val="00725A38"/>
    <w:rsid w:val="00730B66"/>
    <w:rsid w:val="00733FD9"/>
    <w:rsid w:val="00734959"/>
    <w:rsid w:val="00736AA2"/>
    <w:rsid w:val="00740A3D"/>
    <w:rsid w:val="00742989"/>
    <w:rsid w:val="00745205"/>
    <w:rsid w:val="00747F00"/>
    <w:rsid w:val="00764747"/>
    <w:rsid w:val="0076570B"/>
    <w:rsid w:val="00767394"/>
    <w:rsid w:val="00785D88"/>
    <w:rsid w:val="007936AE"/>
    <w:rsid w:val="007961AA"/>
    <w:rsid w:val="007B184E"/>
    <w:rsid w:val="007B1A6A"/>
    <w:rsid w:val="007B2D64"/>
    <w:rsid w:val="007B66DE"/>
    <w:rsid w:val="007D0933"/>
    <w:rsid w:val="007D14C2"/>
    <w:rsid w:val="007D1798"/>
    <w:rsid w:val="007D1B9E"/>
    <w:rsid w:val="007D4E8A"/>
    <w:rsid w:val="007E220F"/>
    <w:rsid w:val="007E6546"/>
    <w:rsid w:val="007E739F"/>
    <w:rsid w:val="007F1990"/>
    <w:rsid w:val="00802BD3"/>
    <w:rsid w:val="00812CB0"/>
    <w:rsid w:val="00825140"/>
    <w:rsid w:val="00827350"/>
    <w:rsid w:val="00830C20"/>
    <w:rsid w:val="008372C9"/>
    <w:rsid w:val="00847F65"/>
    <w:rsid w:val="008525D1"/>
    <w:rsid w:val="00852692"/>
    <w:rsid w:val="00854AE5"/>
    <w:rsid w:val="008708D1"/>
    <w:rsid w:val="00873184"/>
    <w:rsid w:val="00875512"/>
    <w:rsid w:val="0088791B"/>
    <w:rsid w:val="008900B4"/>
    <w:rsid w:val="00891094"/>
    <w:rsid w:val="0089165A"/>
    <w:rsid w:val="008A7F06"/>
    <w:rsid w:val="008B66CF"/>
    <w:rsid w:val="008B7957"/>
    <w:rsid w:val="008D4EE3"/>
    <w:rsid w:val="008D663F"/>
    <w:rsid w:val="008D7242"/>
    <w:rsid w:val="008E08A4"/>
    <w:rsid w:val="008E536D"/>
    <w:rsid w:val="008E79AB"/>
    <w:rsid w:val="009009C9"/>
    <w:rsid w:val="0090402B"/>
    <w:rsid w:val="009119AA"/>
    <w:rsid w:val="00913865"/>
    <w:rsid w:val="009209C7"/>
    <w:rsid w:val="0092204F"/>
    <w:rsid w:val="00923B4C"/>
    <w:rsid w:val="00924ADC"/>
    <w:rsid w:val="00924F10"/>
    <w:rsid w:val="0092758B"/>
    <w:rsid w:val="0093405A"/>
    <w:rsid w:val="00934859"/>
    <w:rsid w:val="0093514F"/>
    <w:rsid w:val="00935ADE"/>
    <w:rsid w:val="00941D7A"/>
    <w:rsid w:val="00947EAF"/>
    <w:rsid w:val="009624F5"/>
    <w:rsid w:val="00963AE1"/>
    <w:rsid w:val="00971821"/>
    <w:rsid w:val="00972E04"/>
    <w:rsid w:val="009919CD"/>
    <w:rsid w:val="009B1FB3"/>
    <w:rsid w:val="009B4F6A"/>
    <w:rsid w:val="009C2F44"/>
    <w:rsid w:val="009C3BEB"/>
    <w:rsid w:val="009D0E91"/>
    <w:rsid w:val="009D179C"/>
    <w:rsid w:val="009D3AF2"/>
    <w:rsid w:val="009E3457"/>
    <w:rsid w:val="009E65AC"/>
    <w:rsid w:val="009F108A"/>
    <w:rsid w:val="00A22878"/>
    <w:rsid w:val="00A259ED"/>
    <w:rsid w:val="00A25D6E"/>
    <w:rsid w:val="00A2693F"/>
    <w:rsid w:val="00A309BF"/>
    <w:rsid w:val="00A30A0A"/>
    <w:rsid w:val="00A32A9C"/>
    <w:rsid w:val="00A33379"/>
    <w:rsid w:val="00A375BE"/>
    <w:rsid w:val="00A41F8C"/>
    <w:rsid w:val="00A4419C"/>
    <w:rsid w:val="00A44B15"/>
    <w:rsid w:val="00A46C59"/>
    <w:rsid w:val="00A57EE2"/>
    <w:rsid w:val="00A610BD"/>
    <w:rsid w:val="00A61B25"/>
    <w:rsid w:val="00A635AB"/>
    <w:rsid w:val="00A70FAA"/>
    <w:rsid w:val="00A75473"/>
    <w:rsid w:val="00A76C16"/>
    <w:rsid w:val="00A811C6"/>
    <w:rsid w:val="00A93B69"/>
    <w:rsid w:val="00AA7153"/>
    <w:rsid w:val="00AA729F"/>
    <w:rsid w:val="00AB0D58"/>
    <w:rsid w:val="00AC4EAF"/>
    <w:rsid w:val="00AD49AF"/>
    <w:rsid w:val="00AE12FE"/>
    <w:rsid w:val="00AF1DEC"/>
    <w:rsid w:val="00AF5218"/>
    <w:rsid w:val="00B05892"/>
    <w:rsid w:val="00B21E5E"/>
    <w:rsid w:val="00B2556B"/>
    <w:rsid w:val="00B27995"/>
    <w:rsid w:val="00B3475A"/>
    <w:rsid w:val="00B52FD6"/>
    <w:rsid w:val="00B71A35"/>
    <w:rsid w:val="00B72254"/>
    <w:rsid w:val="00B7566D"/>
    <w:rsid w:val="00B77C1D"/>
    <w:rsid w:val="00B80EC3"/>
    <w:rsid w:val="00B916C6"/>
    <w:rsid w:val="00B94A07"/>
    <w:rsid w:val="00B96A54"/>
    <w:rsid w:val="00BB3AB1"/>
    <w:rsid w:val="00BB4250"/>
    <w:rsid w:val="00BC3A38"/>
    <w:rsid w:val="00BD4AD1"/>
    <w:rsid w:val="00BF0605"/>
    <w:rsid w:val="00BF0FD6"/>
    <w:rsid w:val="00BF4A33"/>
    <w:rsid w:val="00C00B1A"/>
    <w:rsid w:val="00C07AF8"/>
    <w:rsid w:val="00C157C9"/>
    <w:rsid w:val="00C2411A"/>
    <w:rsid w:val="00C25E7D"/>
    <w:rsid w:val="00C26DEB"/>
    <w:rsid w:val="00C319B4"/>
    <w:rsid w:val="00C354CB"/>
    <w:rsid w:val="00C36017"/>
    <w:rsid w:val="00C3730F"/>
    <w:rsid w:val="00C40A81"/>
    <w:rsid w:val="00C470F9"/>
    <w:rsid w:val="00C4782B"/>
    <w:rsid w:val="00C575E3"/>
    <w:rsid w:val="00C60026"/>
    <w:rsid w:val="00C63CBE"/>
    <w:rsid w:val="00C7178C"/>
    <w:rsid w:val="00C74360"/>
    <w:rsid w:val="00C75B59"/>
    <w:rsid w:val="00C916AE"/>
    <w:rsid w:val="00CA217E"/>
    <w:rsid w:val="00CA2B12"/>
    <w:rsid w:val="00CA3693"/>
    <w:rsid w:val="00CB4D24"/>
    <w:rsid w:val="00CB5FAE"/>
    <w:rsid w:val="00CD5EC3"/>
    <w:rsid w:val="00CE611C"/>
    <w:rsid w:val="00CF0157"/>
    <w:rsid w:val="00CF2029"/>
    <w:rsid w:val="00CF7002"/>
    <w:rsid w:val="00D057CE"/>
    <w:rsid w:val="00D1492E"/>
    <w:rsid w:val="00D23FC1"/>
    <w:rsid w:val="00D34AD1"/>
    <w:rsid w:val="00D36757"/>
    <w:rsid w:val="00D36C7D"/>
    <w:rsid w:val="00D40314"/>
    <w:rsid w:val="00D44C97"/>
    <w:rsid w:val="00D55174"/>
    <w:rsid w:val="00D6019E"/>
    <w:rsid w:val="00D67B9E"/>
    <w:rsid w:val="00D7357B"/>
    <w:rsid w:val="00D73901"/>
    <w:rsid w:val="00DA0544"/>
    <w:rsid w:val="00DA312D"/>
    <w:rsid w:val="00DB1DB8"/>
    <w:rsid w:val="00DB2DFD"/>
    <w:rsid w:val="00DB7B7E"/>
    <w:rsid w:val="00DC1B33"/>
    <w:rsid w:val="00DD16AD"/>
    <w:rsid w:val="00DE0C1A"/>
    <w:rsid w:val="00DE4445"/>
    <w:rsid w:val="00DE6001"/>
    <w:rsid w:val="00DE6731"/>
    <w:rsid w:val="00DF3DF7"/>
    <w:rsid w:val="00DF7F30"/>
    <w:rsid w:val="00E011AA"/>
    <w:rsid w:val="00E05887"/>
    <w:rsid w:val="00E05DDF"/>
    <w:rsid w:val="00E16BC8"/>
    <w:rsid w:val="00E269A0"/>
    <w:rsid w:val="00E27811"/>
    <w:rsid w:val="00E27F73"/>
    <w:rsid w:val="00E35BD1"/>
    <w:rsid w:val="00E40657"/>
    <w:rsid w:val="00E412F5"/>
    <w:rsid w:val="00E5281B"/>
    <w:rsid w:val="00E7204B"/>
    <w:rsid w:val="00E8132B"/>
    <w:rsid w:val="00E976EF"/>
    <w:rsid w:val="00EA54FB"/>
    <w:rsid w:val="00EA5930"/>
    <w:rsid w:val="00EB4D07"/>
    <w:rsid w:val="00EB5EAD"/>
    <w:rsid w:val="00EC044F"/>
    <w:rsid w:val="00EC5FF6"/>
    <w:rsid w:val="00EC6880"/>
    <w:rsid w:val="00ED37D2"/>
    <w:rsid w:val="00EE0518"/>
    <w:rsid w:val="00EE1923"/>
    <w:rsid w:val="00EE55E1"/>
    <w:rsid w:val="00EE587B"/>
    <w:rsid w:val="00EE5EB1"/>
    <w:rsid w:val="00EE5F74"/>
    <w:rsid w:val="00EE7D39"/>
    <w:rsid w:val="00EF07C1"/>
    <w:rsid w:val="00EF50AE"/>
    <w:rsid w:val="00F003EA"/>
    <w:rsid w:val="00F12895"/>
    <w:rsid w:val="00F12C7A"/>
    <w:rsid w:val="00F205CD"/>
    <w:rsid w:val="00F2300A"/>
    <w:rsid w:val="00F337EB"/>
    <w:rsid w:val="00F34266"/>
    <w:rsid w:val="00F36222"/>
    <w:rsid w:val="00F37836"/>
    <w:rsid w:val="00F427AC"/>
    <w:rsid w:val="00F50BD5"/>
    <w:rsid w:val="00F55CA3"/>
    <w:rsid w:val="00F5624B"/>
    <w:rsid w:val="00F62BF5"/>
    <w:rsid w:val="00F660D1"/>
    <w:rsid w:val="00F6624E"/>
    <w:rsid w:val="00F77A3C"/>
    <w:rsid w:val="00F805F2"/>
    <w:rsid w:val="00F826E6"/>
    <w:rsid w:val="00F855BE"/>
    <w:rsid w:val="00F9256E"/>
    <w:rsid w:val="00FA09F0"/>
    <w:rsid w:val="00FA5EB4"/>
    <w:rsid w:val="00FB3049"/>
    <w:rsid w:val="00FB4415"/>
    <w:rsid w:val="00FD3FD7"/>
    <w:rsid w:val="00FD7348"/>
    <w:rsid w:val="00FE19FC"/>
    <w:rsid w:val="00FE5C07"/>
    <w:rsid w:val="00FE6B82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2020-03-19T02:24:00Z</dcterms:created>
  <dcterms:modified xsi:type="dcterms:W3CDTF">2020-03-19T03:23:00Z</dcterms:modified>
</cp:coreProperties>
</file>