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BE" w:rsidRPr="007825BE" w:rsidRDefault="007825BE" w:rsidP="007825BE">
      <w:pPr>
        <w:shd w:val="clear" w:color="auto" w:fill="FFFFFF"/>
        <w:spacing w:before="150" w:after="150" w:line="360" w:lineRule="atLeast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25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30.03</w:t>
      </w:r>
    </w:p>
    <w:p w:rsidR="007825BE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27ED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Урок 13-14. Анализ явления электромагнитной индукции, самоиндукции и взаимоиндукции.</w:t>
      </w:r>
    </w:p>
    <w:p w:rsidR="007825BE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Основной материал: Продолжить анализ явления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электромагнитной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индкции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7825BE" w:rsidRPr="00427ED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Ответит на вопросы в тетради.</w:t>
      </w:r>
    </w:p>
    <w:p w:rsidR="007825BE" w:rsidRDefault="007825BE" w:rsidP="007825BE">
      <w:pPr>
        <w:pStyle w:val="1"/>
        <w:shd w:val="clear" w:color="auto" w:fill="CCCCCC"/>
        <w:spacing w:before="0"/>
        <w:ind w:firstLine="150"/>
        <w:rPr>
          <w:rFonts w:ascii="Palatino Linotype" w:hAnsi="Palatino Linotype"/>
          <w:color w:val="000000"/>
          <w:sz w:val="30"/>
          <w:szCs w:val="30"/>
        </w:rPr>
      </w:pPr>
      <w:r>
        <w:rPr>
          <w:rFonts w:ascii="Palatino Linotype" w:hAnsi="Palatino Linotype"/>
          <w:color w:val="000000"/>
          <w:sz w:val="30"/>
          <w:szCs w:val="30"/>
        </w:rPr>
        <w:t>Электромагнитная индукция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Закон электромагнитной индукции.</w:t>
      </w:r>
      <w:r>
        <w:rPr>
          <w:rFonts w:ascii="Palatino Linotype" w:hAnsi="Palatino Linotype"/>
          <w:color w:val="000000"/>
          <w:sz w:val="20"/>
          <w:szCs w:val="20"/>
        </w:rPr>
        <w:t xml:space="preserve"> Рассмотрим проводник длиной /, который движется со скоростью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v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в магнитном поле (рис. 6.17). В проводнике имеются свободные электроны, которые вместе с проводником движутся в МП. МП воздействует на эти электроны с силой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F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0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> которая смещает электроны к концу 1 проводника. На другом конце 2 проводника будут концентрироваться положительные заряды (там возникает недостаток электронов).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результате в проводнике возникает электродвижущая сила (ЭДС электромагнитной индукции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е),</w:t>
      </w:r>
      <w:r>
        <w:rPr>
          <w:rFonts w:ascii="Palatino Linotype" w:hAnsi="Palatino Linotype"/>
          <w:color w:val="000000"/>
          <w:sz w:val="20"/>
          <w:szCs w:val="20"/>
        </w:rPr>
        <w:t> а явление ее возникновения называется электромагнитной индукцией.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ЭДС определяется выражением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е = 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Bvl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sin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а. Если скорость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v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перпендикулярна вектору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В</w:t>
      </w:r>
      <w:proofErr w:type="gramEnd"/>
      <w:r>
        <w:rPr>
          <w:rFonts w:ascii="Palatino Linotype" w:hAnsi="Palatino Linotype"/>
          <w:i/>
          <w:iCs/>
          <w:color w:val="000000"/>
          <w:sz w:val="20"/>
          <w:szCs w:val="20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> то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а</w:t>
      </w:r>
      <w:r>
        <w:rPr>
          <w:rFonts w:ascii="Palatino Linotype" w:hAnsi="Palatino Linotype"/>
          <w:color w:val="000000"/>
          <w:sz w:val="20"/>
          <w:szCs w:val="20"/>
        </w:rPr>
        <w:t> =90° и в этом случае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е = 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Bvl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> Направление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 можно определить по правилу правой руки: если магнитные силовые линии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В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 входят в ладонь, а отогнутый большой палец расположен по направлению скорости V, то четыре вытянутые пальца ладони показывают направление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е.</w:t>
      </w:r>
    </w:p>
    <w:p w:rsidR="007825BE" w:rsidRDefault="007825BE" w:rsidP="007825B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43050" cy="1276350"/>
            <wp:effectExtent l="19050" t="0" r="0" b="0"/>
            <wp:docPr id="311" name="Рисунок 311" descr="ЭДС индукции в провод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ЭДС индукции в проводни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Рис. 6.17. </w:t>
      </w:r>
      <w:r>
        <w:rPr>
          <w:rStyle w:val="a4"/>
          <w:rFonts w:ascii="Palatino Linotype" w:hAnsi="Palatino Linotype"/>
          <w:color w:val="000000"/>
          <w:sz w:val="20"/>
          <w:szCs w:val="20"/>
        </w:rPr>
        <w:t>ЭДС индукции в проводнике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Закон электромагнитной индукции</w:t>
      </w:r>
      <w:r>
        <w:rPr>
          <w:rFonts w:ascii="Palatino Linotype" w:hAnsi="Palatino Linotype"/>
          <w:color w:val="000000"/>
          <w:sz w:val="20"/>
          <w:szCs w:val="20"/>
        </w:rPr>
        <w:t> был открыт английским физиком М. Фарадеем. Формулируется он следующим образом: любое изменение МП, в которое помещен проводник произвольной формы, вызывает в проводнике появление ЭДС электромагнитной индукции.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ЭДС индукции в контуре.</w:t>
      </w:r>
      <w:r>
        <w:rPr>
          <w:rFonts w:ascii="Palatino Linotype" w:hAnsi="Palatino Linotype"/>
          <w:color w:val="000000"/>
          <w:sz w:val="20"/>
          <w:szCs w:val="20"/>
        </w:rPr>
        <w:t> Поместим в МП замкнутый контур — рамку из проводников, которая перемещается со скоростью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V</w:t>
      </w:r>
      <w:r>
        <w:rPr>
          <w:rFonts w:ascii="Palatino Linotype" w:hAnsi="Palatino Linotype"/>
          <w:color w:val="000000"/>
          <w:sz w:val="20"/>
          <w:szCs w:val="20"/>
        </w:rPr>
        <w:t> перпендикулярно линиям индукции (рис. 6.18). Если МП однородное (одинаковое во всех точках поля), то в проводниках 1 — 4 и 2 — 3 рамки будут индуцироваться одинаковые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ЭДС е, в проводниках 1 — 2 и 3 — 4 ЭДС появляться не будут, так как они не пересекают силовые линии поля. Суммарная ЭДС в контуре будет равна нулю.</w:t>
      </w:r>
    </w:p>
    <w:p w:rsidR="007825BE" w:rsidRDefault="007825BE" w:rsidP="007825B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28825" cy="1104900"/>
            <wp:effectExtent l="19050" t="0" r="9525" b="0"/>
            <wp:docPr id="312" name="Рисунок 312" descr="ЭДС индукции в ра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ЭДС индукции в рам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lastRenderedPageBreak/>
        <w:t>Рис. 6.18. </w:t>
      </w:r>
      <w:r>
        <w:rPr>
          <w:rStyle w:val="a4"/>
          <w:rFonts w:ascii="Palatino Linotype" w:hAnsi="Palatino Linotype"/>
          <w:color w:val="000000"/>
          <w:sz w:val="20"/>
          <w:szCs w:val="20"/>
        </w:rPr>
        <w:t>ЭДС индукции в рамке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При перемещении рамки в неоднородном МП в ней будет появляться ЭДС, которую рассчитывают по формуле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е = </w:t>
      </w:r>
      <w:proofErr w:type="gramStart"/>
      <w:r>
        <w:rPr>
          <w:rFonts w:ascii="Palatino Linotype" w:hAnsi="Palatino Linotype"/>
          <w:i/>
          <w:iCs/>
          <w:color w:val="000000"/>
          <w:sz w:val="20"/>
          <w:szCs w:val="20"/>
        </w:rPr>
        <w:t>—А</w:t>
      </w:r>
      <w:proofErr w:type="gramEnd"/>
      <w:r>
        <w:rPr>
          <w:rFonts w:ascii="Palatino Linotype" w:hAnsi="Palatino Linotype"/>
          <w:i/>
          <w:iCs/>
          <w:color w:val="000000"/>
          <w:sz w:val="20"/>
          <w:szCs w:val="20"/>
        </w:rPr>
        <w:t>Ф/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At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(•), где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АФ</w:t>
      </w:r>
      <w:r>
        <w:rPr>
          <w:rFonts w:ascii="Palatino Linotype" w:hAnsi="Palatino Linotype"/>
          <w:color w:val="000000"/>
          <w:sz w:val="20"/>
          <w:szCs w:val="20"/>
        </w:rPr>
        <w:t> — изменение магнитного потока, пронизывающего контур за время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At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Изменение магнитного потока может происходить по различным причинам: из-за неоднородности МП при движении рамки; вследствие изменения потока во времени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Ф = 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f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t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); при деформации самой рамки.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>
        <w:rPr>
          <w:rFonts w:ascii="Palatino Linotype" w:hAnsi="Palatino Linotype"/>
          <w:color w:val="000000"/>
          <w:sz w:val="20"/>
          <w:szCs w:val="20"/>
        </w:rPr>
        <w:t>Индуцированная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 в рамке ЭДС приводит к появлению в ней тока. Русский ученый Э.Х.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Ленц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первым сформулировал закон, который позволяет определить направление 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индуцированных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 ЭДС и тока. Этот закон называют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законом Ленца.</w:t>
      </w:r>
      <w:r>
        <w:rPr>
          <w:rFonts w:ascii="Palatino Linotype" w:hAnsi="Palatino Linotype"/>
          <w:color w:val="000000"/>
          <w:sz w:val="20"/>
          <w:szCs w:val="20"/>
        </w:rPr>
        <w:t> Формулируется он следующим образом: в замкнутом контуре, помещенном в МП, индуцируется ток такого направления, чтобы препятствовать изменению основного магнитного потока, пронизывающего контур.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Если магнитный поток, пронизывающий рамку, увеличивается, индуцируемый в рамке ток старается уменьшить основной поток, 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и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 наоборот, при уменьшении потока индуцируемый ток будет увеличивать общий поток. Об этом и говорит знак «минус» в формуле расчета ЭДС.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ЭДС самоиндукции и индуктивность катушки.</w:t>
      </w:r>
      <w:r>
        <w:rPr>
          <w:rFonts w:ascii="Palatino Linotype" w:hAnsi="Palatino Linotype"/>
          <w:color w:val="000000"/>
          <w:sz w:val="20"/>
          <w:szCs w:val="20"/>
        </w:rPr>
        <w:t> Пропустим через катушку изменяющийся во времени электрический ток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(рис. 6.19). Этот ток будет создавать переменный магнитный поток и, следовательно, возникнет ЭДС, которая называется ЭДС самоиндукции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e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L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 Для количественной оценки этой ЭДС вводят понятие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потокоспепления</w:t>
      </w:r>
      <w:proofErr w:type="spellEnd"/>
      <w:proofErr w:type="gramStart"/>
      <w:r>
        <w:rPr>
          <w:rFonts w:ascii="Palatino Linotype" w:hAnsi="Palatino Linotype"/>
          <w:color w:val="000000"/>
          <w:sz w:val="20"/>
          <w:szCs w:val="20"/>
        </w:rPr>
        <w:t xml:space="preserve"> .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 Хотя витки катушки пронизываются различным количеством силовых линий, можно определить 'Р, как суммарный магнитный поток самоиндукции, создаваемый током катушки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i</w:t>
      </w:r>
      <w:r>
        <w:rPr>
          <w:rFonts w:ascii="Palatino Linotype" w:hAnsi="Palatino Linotype"/>
          <w:color w:val="000000"/>
          <w:sz w:val="20"/>
          <w:szCs w:val="20"/>
        </w:rPr>
        <w:t>: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Ф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1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,Ф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1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,Ф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ъ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,...,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Фч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&gt;</w:t>
      </w:r>
      <w:proofErr w:type="gramStart"/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,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 где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Ф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]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 +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Ф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п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 +Ф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}</w:t>
      </w:r>
      <w:r>
        <w:rPr>
          <w:rFonts w:ascii="Palatino Linotype" w:hAnsi="Palatino Linotype"/>
          <w:color w:val="000000"/>
          <w:sz w:val="20"/>
          <w:szCs w:val="20"/>
        </w:rPr>
        <w:t> +... +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Фм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-</w:t>
      </w:r>
      <w:r>
        <w:rPr>
          <w:rFonts w:ascii="Palatino Linotype" w:hAnsi="Palatino Linotype"/>
          <w:color w:val="000000"/>
          <w:sz w:val="20"/>
          <w:szCs w:val="20"/>
        </w:rPr>
        <w:t> — магнитные потоки самоиндукции от первого, второго, третьего и так далее витков катушки при протекании тока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.</w:t>
      </w:r>
    </w:p>
    <w:p w:rsidR="007825BE" w:rsidRDefault="007825BE" w:rsidP="007825B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81125" cy="1257300"/>
            <wp:effectExtent l="19050" t="0" r="9525" b="0"/>
            <wp:docPr id="313" name="Рисунок 313" descr="Магнитное поле катушки с 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Магнитное поле катушки с ток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Рис. 6.19. </w:t>
      </w:r>
      <w:r>
        <w:rPr>
          <w:rStyle w:val="a4"/>
          <w:rFonts w:ascii="Palatino Linotype" w:hAnsi="Palatino Linotype"/>
          <w:color w:val="000000"/>
          <w:sz w:val="20"/>
          <w:szCs w:val="20"/>
        </w:rPr>
        <w:t>Магнитное поле катушки с током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среде с постоянной магнитной проницаемостью существует линейная зависимость от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> т.е.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'?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=Li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> где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L</w:t>
      </w:r>
      <w:r>
        <w:rPr>
          <w:rFonts w:ascii="Palatino Linotype" w:hAnsi="Palatino Linotype"/>
          <w:color w:val="000000"/>
          <w:sz w:val="20"/>
          <w:szCs w:val="20"/>
        </w:rPr>
        <w:t> — коэффициент пропорциональности, который называется индуктивностью катушки. Единицей индуктивности является генри (Гн).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Применяя формулу (•), получаем выражение для ЭДС самоиндукции </w:t>
      </w:r>
      <w:r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>
            <wp:extent cx="2314575" cy="247650"/>
            <wp:effectExtent l="19050" t="0" r="9525" b="0"/>
            <wp:docPr id="314" name="Рисунок 314" descr="https://bstudy.net/htm/img/18/10003/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s://bstudy.net/htm/img/18/10003/3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color w:val="000000"/>
          <w:sz w:val="20"/>
          <w:szCs w:val="20"/>
        </w:rPr>
        <w:t>где A4*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?</w:t>
      </w:r>
      <w:r>
        <w:rPr>
          <w:rFonts w:ascii="Palatino Linotype" w:hAnsi="Palatino Linotype"/>
          <w:color w:val="000000"/>
          <w:sz w:val="20"/>
          <w:szCs w:val="20"/>
        </w:rPr>
        <w:t xml:space="preserve"> и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Д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— изменения потокосцепления и тока за время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 xml:space="preserve"> Д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/.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Так же, как и ЭДС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е</w:t>
      </w:r>
      <w:r>
        <w:rPr>
          <w:rFonts w:ascii="Palatino Linotype" w:hAnsi="Palatino Linotype"/>
          <w:color w:val="000000"/>
          <w:sz w:val="20"/>
          <w:szCs w:val="20"/>
        </w:rPr>
        <w:t> индукции, ЭДС самоиндукции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e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L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подчиняется закону Ленца, т.е. препятствует изменению потока (тока) в катушке.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ЭДС взаимоиндукции.</w:t>
      </w:r>
      <w:r>
        <w:rPr>
          <w:rFonts w:ascii="Palatino Linotype" w:hAnsi="Palatino Linotype"/>
          <w:color w:val="000000"/>
          <w:sz w:val="20"/>
          <w:szCs w:val="20"/>
        </w:rPr>
        <w:t xml:space="preserve"> Рассмотрим случай, когда две катушки расположены рядом и по одной из них протекает ток /,, (рис. 6.20,а). Этот ток создает поток самоиндукции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Ф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п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, который полностью </w:t>
      </w:r>
      <w:r>
        <w:rPr>
          <w:rFonts w:ascii="Palatino Linotype" w:hAnsi="Palatino Linotype"/>
          <w:color w:val="000000"/>
          <w:sz w:val="20"/>
          <w:szCs w:val="20"/>
        </w:rPr>
        <w:lastRenderedPageBreak/>
        <w:t>пронизывает катушку 1 и частично катушку 2. Поток Ф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12</w:t>
      </w:r>
      <w:r>
        <w:rPr>
          <w:rFonts w:ascii="Palatino Linotype" w:hAnsi="Palatino Linotype"/>
          <w:color w:val="000000"/>
          <w:sz w:val="20"/>
          <w:szCs w:val="20"/>
        </w:rPr>
        <w:t xml:space="preserve">, пронизывающий катушку 2, называется потоком взаимоиндукции. Сцепляясь с витками катушек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w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, и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иг</w:t>
      </w:r>
      <w:proofErr w:type="spellEnd"/>
      <w:proofErr w:type="gramStart"/>
      <w:r>
        <w:rPr>
          <w:rFonts w:ascii="Palatino Linotype" w:hAnsi="Palatino Linotype"/>
          <w:color w:val="000000"/>
          <w:sz w:val="20"/>
          <w:szCs w:val="20"/>
        </w:rPr>
        <w:t xml:space="preserve">,, 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потоки образуют потокосцепления </w:t>
      </w:r>
      <w:r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>
            <wp:extent cx="2095500" cy="342900"/>
            <wp:effectExtent l="19050" t="0" r="0" b="0"/>
            <wp:docPr id="315" name="Рисунок 315" descr="https://bstudy.net/htm/img/18/10003/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s://bstudy.net/htm/img/18/10003/3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Оба потокосцепления создаются одним током и в среде с постоянной магнитной проницаемостью будут ему пропорциональны, т.е. Ч*, =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Ly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и где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L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x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— индуктивность первой катушки, М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12</w:t>
      </w:r>
      <w:r>
        <w:rPr>
          <w:rFonts w:ascii="Palatino Linotype" w:hAnsi="Palatino Linotype"/>
          <w:color w:val="000000"/>
          <w:sz w:val="20"/>
          <w:szCs w:val="20"/>
        </w:rPr>
        <w:t> — коэффициент пропорциональности, который называется взаимной индуктивностью. Единицей взаимной индуктивности является генри (Гн).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Если при отсутствии тока в первой катушке во второй катушке пропустить ток /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2</w:t>
      </w:r>
      <w:r>
        <w:rPr>
          <w:rFonts w:ascii="Palatino Linotype" w:hAnsi="Palatino Linotype"/>
          <w:color w:val="000000"/>
          <w:sz w:val="20"/>
          <w:szCs w:val="20"/>
        </w:rPr>
        <w:t>, то возникнет поток самоиндукции второй катушки Ф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22</w:t>
      </w:r>
      <w:r>
        <w:rPr>
          <w:rFonts w:ascii="Palatino Linotype" w:hAnsi="Palatino Linotype"/>
          <w:color w:val="000000"/>
          <w:sz w:val="20"/>
          <w:szCs w:val="20"/>
        </w:rPr>
        <w:t> и поток взаимоиндукции Ф</w:t>
      </w:r>
      <w:proofErr w:type="gramStart"/>
      <w:r>
        <w:rPr>
          <w:rFonts w:ascii="Palatino Linotype" w:hAnsi="Palatino Linotype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Palatino Linotype" w:hAnsi="Palatino Linotype"/>
          <w:color w:val="000000"/>
          <w:sz w:val="20"/>
          <w:szCs w:val="20"/>
          <w:vertAlign w:val="subscript"/>
        </w:rPr>
        <w:t>]</w:t>
      </w:r>
      <w:r>
        <w:rPr>
          <w:rFonts w:ascii="Palatino Linotype" w:hAnsi="Palatino Linotype"/>
          <w:color w:val="000000"/>
          <w:sz w:val="20"/>
          <w:szCs w:val="20"/>
        </w:rPr>
        <w:t> (рис. 6.20,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б).</w:t>
      </w:r>
      <w:r>
        <w:rPr>
          <w:rFonts w:ascii="Palatino Linotype" w:hAnsi="Palatino Linotype"/>
          <w:color w:val="000000"/>
          <w:sz w:val="20"/>
          <w:szCs w:val="20"/>
        </w:rPr>
        <w:t> Потокосцепление взаимоиндукции Ч^ определяется выражением Ч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>|2 = М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12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/,.</w:t>
      </w:r>
    </w:p>
    <w:p w:rsidR="007825BE" w:rsidRDefault="007825BE" w:rsidP="007825B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19450" cy="1657350"/>
            <wp:effectExtent l="19050" t="0" r="0" b="0"/>
            <wp:docPr id="316" name="Рисунок 316" descr="Магнитное поле индуктивно связанных катушек а — ток в катушке 1; б — ток в катушк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Магнитное поле индуктивно связанных катушек а — ток в катушке 1; б — ток в катушке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Рис 6.20. Магнитное поле индуктивно связанных катушек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а</w:t>
      </w:r>
      <w:r>
        <w:rPr>
          <w:rFonts w:ascii="Palatino Linotype" w:hAnsi="Palatino Linotype"/>
          <w:color w:val="000000"/>
          <w:sz w:val="20"/>
          <w:szCs w:val="20"/>
        </w:rPr>
        <w:t> — ток в катушке 1;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б</w:t>
      </w:r>
      <w:r>
        <w:rPr>
          <w:rFonts w:ascii="Palatino Linotype" w:hAnsi="Palatino Linotype"/>
          <w:color w:val="000000"/>
          <w:sz w:val="20"/>
          <w:szCs w:val="20"/>
        </w:rPr>
        <w:t> — ток в катушке 2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среде без ферромагнетиков М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12</w:t>
      </w:r>
      <w:r>
        <w:rPr>
          <w:rFonts w:ascii="Palatino Linotype" w:hAnsi="Palatino Linotype"/>
          <w:color w:val="000000"/>
          <w:sz w:val="20"/>
          <w:szCs w:val="20"/>
        </w:rPr>
        <w:t>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= М</w:t>
      </w:r>
      <w:proofErr w:type="gramStart"/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]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 = М.</w:t>
      </w:r>
      <w:r>
        <w:rPr>
          <w:rFonts w:ascii="Palatino Linotype" w:hAnsi="Palatino Linotype"/>
          <w:color w:val="000000"/>
          <w:sz w:val="20"/>
          <w:szCs w:val="20"/>
        </w:rPr>
        <w:t> Взаимная индуктивность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М </w:t>
      </w:r>
      <w:r>
        <w:rPr>
          <w:rFonts w:ascii="Palatino Linotype" w:hAnsi="Palatino Linotype"/>
          <w:color w:val="000000"/>
          <w:sz w:val="20"/>
          <w:szCs w:val="20"/>
        </w:rPr>
        <w:t>зависит от размеров и расположения катушек, числа витков и магнитной среды.</w:t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Если ток /, будет изменяться во времени, то потокосцепления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Ч'</w:t>
      </w:r>
      <w:proofErr w:type="gramStart"/>
      <w:r>
        <w:rPr>
          <w:rFonts w:ascii="Palatino Linotype" w:hAnsi="Palatino Linotype"/>
          <w:color w:val="000000"/>
          <w:sz w:val="20"/>
          <w:szCs w:val="20"/>
          <w:vertAlign w:val="subscript"/>
        </w:rPr>
        <w:t>п</w:t>
      </w:r>
      <w:proofErr w:type="spellEnd"/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 и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Ч'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р</w:t>
      </w:r>
      <w:proofErr w:type="spellEnd"/>
      <w:r>
        <w:rPr>
          <w:rFonts w:ascii="Palatino Linotype" w:hAnsi="Palatino Linotype"/>
          <w:color w:val="000000"/>
          <w:sz w:val="20"/>
          <w:szCs w:val="20"/>
          <w:vertAlign w:val="subscript"/>
        </w:rPr>
        <w:t> </w:t>
      </w:r>
      <w:r>
        <w:rPr>
          <w:rFonts w:ascii="Palatino Linotype" w:hAnsi="Palatino Linotype"/>
          <w:color w:val="000000"/>
          <w:sz w:val="20"/>
          <w:szCs w:val="20"/>
        </w:rPr>
        <w:t>тоже будут изменяться во времени. В обеих катушках будут появляться ЭДС индукции 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t>е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л</w:t>
      </w:r>
      <w:r>
        <w:rPr>
          <w:rFonts w:ascii="Palatino Linotype" w:hAnsi="Palatino Linotype"/>
          <w:color w:val="000000"/>
          <w:sz w:val="20"/>
          <w:szCs w:val="20"/>
        </w:rPr>
        <w:t> и е</w:t>
      </w:r>
      <w:r>
        <w:rPr>
          <w:rFonts w:ascii="Palatino Linotype" w:hAnsi="Palatino Linotype"/>
          <w:color w:val="000000"/>
          <w:sz w:val="20"/>
          <w:szCs w:val="20"/>
          <w:vertAlign w:val="subscript"/>
        </w:rPr>
        <w:t>12</w:t>
      </w:r>
      <w:r>
        <w:rPr>
          <w:rFonts w:ascii="Palatino Linotype" w:hAnsi="Palatino Linotype"/>
          <w:color w:val="000000"/>
          <w:sz w:val="20"/>
          <w:szCs w:val="20"/>
        </w:rPr>
        <w:t>, при этом </w:t>
      </w:r>
      <w:proofErr w:type="gramStart"/>
      <w:r>
        <w:rPr>
          <w:rFonts w:ascii="Palatino Linotype" w:hAnsi="Palatino Linotype"/>
          <w:i/>
          <w:iCs/>
          <w:color w:val="000000"/>
          <w:sz w:val="20"/>
          <w:szCs w:val="20"/>
        </w:rPr>
        <w:t>е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л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 называется ЭДС самоиндукции первой катушки,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</w:t>
      </w:r>
      <w:proofErr w:type="spellStart"/>
      <w:r>
        <w:rPr>
          <w:rFonts w:ascii="Palatino Linotype" w:hAnsi="Palatino Linotype"/>
          <w:i/>
          <w:iCs/>
          <w:color w:val="000000"/>
          <w:sz w:val="20"/>
          <w:szCs w:val="20"/>
        </w:rPr>
        <w:t>e</w:t>
      </w:r>
      <w:r>
        <w:rPr>
          <w:rFonts w:ascii="Palatino Linotype" w:hAnsi="Palatino Linotype"/>
          <w:i/>
          <w:iCs/>
          <w:color w:val="000000"/>
          <w:sz w:val="20"/>
          <w:szCs w:val="20"/>
          <w:vertAlign w:val="subscript"/>
        </w:rPr>
        <w:t>v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 — ЭДС взаимоиндукции (рис. 6.20). Они определяются следующими выражениями:</w:t>
      </w:r>
    </w:p>
    <w:p w:rsidR="007825BE" w:rsidRDefault="007825BE" w:rsidP="007825B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33950" cy="485775"/>
            <wp:effectExtent l="19050" t="0" r="0" b="0"/>
            <wp:docPr id="317" name="Рисунок 317" descr="https://bstudy.net/htm/img/18/10003/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s://bstudy.net/htm/img/18/10003/3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BE" w:rsidRDefault="007825BE" w:rsidP="007825BE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ЭДС взаимоиндукции образуется в любом замкнутом контуре, который пронизывается изменяющимся потоком. Так, сечение магнитопровода трансформатора можно рассматривать как контур, в котором ЭДС будет генерировать кольцевые токи. Эти токи называются вихревыми. Они вызывают потери в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магнитопроводах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различных устройств. Чтобы уменьшить вихревые токи ма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г-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нитопроводы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трансформаторов набирают из тонких листов электротехнической стали, изолированных друг от друга.</w:t>
      </w:r>
    </w:p>
    <w:p w:rsidR="007825BE" w:rsidRPr="008D5CF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25BE" w:rsidRPr="008D5CF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чем состоит явление электромагнитной индукции?</w:t>
      </w:r>
    </w:p>
    <w:p w:rsidR="007825BE" w:rsidRPr="008D5CF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</w:t>
      </w:r>
      <w:proofErr w:type="gramEnd"/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физических величин может привести к изменению магнитного потока?</w:t>
      </w:r>
    </w:p>
    <w:p w:rsidR="007825BE" w:rsidRPr="008D5CF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каком случае направление индукционного тока считается положительным, а в каком — отрицательным?</w:t>
      </w:r>
    </w:p>
    <w:p w:rsidR="007825BE" w:rsidRPr="008D5CF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Сформулируйте закон электромагнитной индукции. Запишите его математическое выражение.</w:t>
      </w:r>
    </w:p>
    <w:p w:rsidR="007825BE" w:rsidRPr="008D5CF0" w:rsidRDefault="007825BE" w:rsidP="00782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Сформулируйте правило Ленца. Приведите примеры его применения</w:t>
      </w:r>
    </w:p>
    <w:p w:rsidR="007825BE" w:rsidRDefault="007825BE" w:rsidP="007825B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Решите задачи:</w:t>
      </w: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№1. Что произойдет в кольце, когда в него введут магнит, если кольцо сделано из: а) непроводника; б) проводника и в) сверхпроводника?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№2. Будет ли возникать индукционный ток в круговом витке, находящемся в однородном магнитном поле, если: а) перемещать виток поступательно; б) вращать виток вокруг оси, проходящей через его центр перпендикулярно плоскости витка; в) вращать виток вокруг оси, лежащей в его плоскости?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№3. Если клеммы двух демонстрационных гальванометров соединить проводами и затем покачиванием одного из приборов вызвать колебание его стрелки, то и у другого прибора стрелка тоже начнет колебаться. Объясните опыт и при возможности проверьте.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№4. Почему колебания стрелки компаса быстрее затухают, если корпус прибора латунный, и медленнее затухают, если корпус прибора пластмассовый?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5. В замкнутом витке проволоки сопротивлением 2 • 10-2 Ом мгновенное значение индукционного тока равно 5 </w:t>
              </w:r>
              <w:proofErr w:type="gramStart"/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</w:t>
              </w:r>
              <w:proofErr w:type="gramEnd"/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Какова ЭДС индукции?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№6. В контуре проводника магнитный поток изменился за 0,3 с на 0,06 Вб. Какова скорость изменения магнитного потока? </w:t>
              </w:r>
              <w:proofErr w:type="gramStart"/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Какова</w:t>
              </w:r>
              <w:proofErr w:type="gramEnd"/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ЭДС индукции в контуре? При каком условии ЭДС индукции будет постоянной?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№7. За 5 мс в соленоиде, содержащем 500 витков провода, магнитный поток равномерно убывает с 7 до 3 мВб. Найдите ЭДС индукции в соленоиде.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№8. Найдите скорость изменения магнитного потока в соленоиде, состоящем из 2000 витков, при возбуждении в нем ЭДС индукции 120 В.</w:t>
              </w:r>
            </w:hyperlink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7"/>
      </w:tblGrid>
      <w:tr w:rsidR="007825BE" w:rsidRPr="007825BE" w:rsidTr="007825BE">
        <w:trPr>
          <w:trHeight w:val="56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№9. Магнитный поток, пронизывающий контур проводника, равномерно изменился на 0,6 Вб так, что ЭДС индукции </w:t>
              </w:r>
              <w:proofErr w:type="gramStart"/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оказалась равной 1,2 В. Найдите</w:t>
              </w:r>
              <w:proofErr w:type="gramEnd"/>
              <w:r w:rsidRPr="007825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время изменения магнитного потока. Найдите силу индукционного тока, если сопротивление проводника 0,24 Ом.</w:t>
              </w:r>
            </w:hyperlink>
          </w:p>
          <w:p w:rsid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5BE" w:rsidRDefault="007825BE" w:rsidP="007825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Теория берётся из любого источника. </w:t>
            </w:r>
          </w:p>
          <w:p w:rsidR="007825BE" w:rsidRPr="008D0C09" w:rsidRDefault="007825BE" w:rsidP="007825BE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Задания выполняются в тетрадях, фотографируются и отправляются преподавателю по адресу: </w:t>
            </w:r>
            <w:proofErr w:type="spellStart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en-US"/>
              </w:rPr>
              <w:t>kartel</w:t>
            </w:r>
            <w:proofErr w:type="spellEnd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.</w:t>
            </w:r>
            <w:proofErr w:type="spellStart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en-US"/>
              </w:rPr>
              <w:t>mih</w:t>
            </w:r>
            <w:proofErr w:type="spellEnd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@</w:t>
            </w:r>
            <w:proofErr w:type="spellStart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en-US"/>
              </w:rPr>
              <w:t>yandex</w:t>
            </w:r>
            <w:proofErr w:type="spellEnd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.</w:t>
            </w:r>
            <w:proofErr w:type="spellStart"/>
            <w:r w:rsidRPr="008D0C0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7825BE" w:rsidRPr="007825BE" w:rsidRDefault="007825BE" w:rsidP="007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5BE" w:rsidRPr="007825BE" w:rsidRDefault="007825BE" w:rsidP="007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825BE" w:rsidRPr="007825BE" w:rsidSect="004F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25BE"/>
    <w:rsid w:val="007825BE"/>
    <w:rsid w:val="008B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BE"/>
  </w:style>
  <w:style w:type="paragraph" w:styleId="1">
    <w:name w:val="heading 1"/>
    <w:basedOn w:val="a"/>
    <w:next w:val="a"/>
    <w:link w:val="10"/>
    <w:uiPriority w:val="9"/>
    <w:qFormat/>
    <w:rsid w:val="0078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8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5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82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avay5.com/z/5833.php" TargetMode="External"/><Relationship Id="rId18" Type="http://schemas.openxmlformats.org/officeDocument/2006/relationships/hyperlink" Target="https://davay5.com/z/5842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davay5.com/z/5832.php" TargetMode="External"/><Relationship Id="rId17" Type="http://schemas.openxmlformats.org/officeDocument/2006/relationships/hyperlink" Target="https://davay5.com/z/5841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vay5.com/z/5840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davay5.com/z/5829.php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davay5.com/z/5839.php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davay5.com/z/5843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davay5.com/z/583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2020-03-26T05:27:00Z</dcterms:created>
  <dcterms:modified xsi:type="dcterms:W3CDTF">2020-03-26T05:37:00Z</dcterms:modified>
</cp:coreProperties>
</file>