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B9" w:rsidRPr="008658B9" w:rsidRDefault="008658B9" w:rsidP="008658B9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val="en-US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Задание: изучить и ответить на вопрос; Последовательность операций проводимых при установке угла опережения зажигания. Ответ присылать </w:t>
      </w:r>
      <w:hyperlink r:id="rId4" w:history="1">
        <w:r w:rsidRPr="00D4540E">
          <w:rPr>
            <w:rStyle w:val="a3"/>
            <w:rFonts w:ascii="Georgia" w:eastAsia="Times New Roman" w:hAnsi="Georgia" w:cs="Times New Roman"/>
            <w:kern w:val="36"/>
            <w:sz w:val="45"/>
            <w:szCs w:val="45"/>
            <w:lang w:val="en-US"/>
          </w:rPr>
          <w:t>master.starshiy@bk.ru</w:t>
        </w:r>
      </w:hyperlink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val="en-US"/>
        </w:rPr>
        <w:t xml:space="preserve"> </w:t>
      </w:r>
    </w:p>
    <w:p w:rsidR="008658B9" w:rsidRPr="008658B9" w:rsidRDefault="008658B9" w:rsidP="008658B9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8658B9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Пусковой двигатель ПД 10 (</w:t>
      </w:r>
      <w:proofErr w:type="spellStart"/>
      <w:r w:rsidRPr="008658B9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пускач</w:t>
      </w:r>
      <w:proofErr w:type="spellEnd"/>
      <w:r w:rsidRPr="008658B9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 трактора МТЗ 82). 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Устройство пускового двигателя ПД 10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К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основным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комплектующим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относятся: система питания, кривошипно-шатунный механизм, редуктор, остов, регулятор, система зажигания, а также индивидуальная система запуска при помощи электрического стартера.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Остов пускового двигателя образуют головка цилиндров, картер и цилиндр. Картер состоит из двух половинок,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отцентрованных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штифтами и соединенных между собой болтами. В специальных расточках картера установлены подшипники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, смазка к которым подается через каналы. В передней части картера находятся передаточные шестерни защищенные крышкой. В верхней плоскости картера установлен цилиндр. Двойные стенки литого цилиндра образуют рубашку, к которой через патрубок подается вода. На внутреннюю поверхность цилиндра выходят газораспределительные окна. Через впускные окна и впускной канал из карбюратора в картер подается горючая смесь. Два продувочных окна, соединенных вертикальными колодцами с картером, необходимы для продувания и подачи смеси в цилиндр. Впускные окна соединены с патрубком глушителя.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наклонное боковое отверстие вкручен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краник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служащий для заправки бензина в цилиндр перед запуском дизеля, а в центральное отверстие головки вкручена свеча зажигания СН 200.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6438900" cy="5743575"/>
            <wp:effectExtent l="19050" t="0" r="0" b="0"/>
            <wp:docPr id="10" name="Рисунок 10" descr="Схема устройства ПД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устройства ПД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Схема устройства ПД 10:</w:t>
      </w: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1 — головка; 2 — заливной краник; 3 — искровая зажигательная свеча; 4 — цилиндр; 5 — поршень </w:t>
      </w:r>
      <w:proofErr w:type="spellStart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>пд</w:t>
      </w:r>
      <w:proofErr w:type="spellEnd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10; 6 — поршневой палец; 7 — шатун; 8 — воздухоочиститель; 9 — карбюратор</w:t>
      </w:r>
      <w:proofErr w:type="gramStart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К</w:t>
      </w:r>
      <w:proofErr w:type="gramEnd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16а; 10 — тяга регулятора; 11 — рычаг регулятора; 12 — регулятор; 13 — промежуточная шестерня; 14 — картер; 15 — коленчатый вал; 16 — кривошипный палец; 17 — кожух маховика; 18 — маховик; 19 — стартер; 20 — глушитель.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Принцип действия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ПД 10 трактора МТЗ 82 по своему принципу действия является двухтактным одноцилиндровым карбюраторным бензиновым двигателем. Рабочий процесс данного агрегата аналогичен большинству подобных двигателей и происходит следующим образом.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Поршень, перемещаясь от нижней мертвой точки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верхней, сначала перекрывает продувочное окно, а затем впускное и начинает сдавливать поступившую до этого горючую смесь в цилиндр. Одновременно создается разрежение в кривошипной камере и когда юбка поршня откроет впускное окно, то через него в кривошипную камеру из карбюратора засасывается горючая смесь. При нахождении поршня ближе к верхней мертвой точки, сжатая горючая смесь воспламеняется от искры свечи.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Кривошипно-шатунный механизм пускового двигателя состоит из разъемного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, поршня, шатуна и поршневого пальца.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состоит из двух щек, двух полуосей и кривошипного пальца. Все детали комплектуются по размерным группам. Головки шатуна двигателя неразъемные. Шатун соединяется с кривошипным пальцем во время сборки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В качестве шатунного подшипника применяются два ряда роликов, размещенных между внутренней поверхностью нижней головки шатуна с радиальным зазором 0,008-0,020 миллиметров и кривошипным пальцем. Для смазывания подшипников применяется масло, поступающее по прорезям и отверстиям в нижней и верхней головках шатуна. Поршень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изготовлен из алюминиевого сплава и имеет два компрессионных кольца.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Система питания состоит из карбюратора, топливного бачка с фильтром, воздушного патрубка,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воздухоочистителя.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В качестве топлива применяется горючая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смесь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состоящая из бензина и моторного масла в соотношении 15 к 1.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Масло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добавляемое в рабочую смесь одновременно служит для смазки деталей пускового двигателя.</w:t>
      </w: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b/>
          <w:bCs/>
          <w:color w:val="2E2E2E"/>
          <w:sz w:val="30"/>
        </w:rPr>
      </w:pP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lastRenderedPageBreak/>
        <w:t>Технические характеристики</w:t>
      </w:r>
    </w:p>
    <w:tbl>
      <w:tblPr>
        <w:tblW w:w="108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6"/>
        <w:gridCol w:w="6314"/>
      </w:tblGrid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двухтактный</w:t>
            </w:r>
            <w:proofErr w:type="gramEnd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, одноцилиндровый, с кривошипно-камерной продувкой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Способ образования рабочей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карбюраторный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Количество цилиндров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 xml:space="preserve">Рабочий объем, </w:t>
            </w:r>
            <w:proofErr w:type="gramStart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0,346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 xml:space="preserve">Диаметр цилиндра, </w:t>
            </w:r>
            <w:proofErr w:type="gramStart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72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 xml:space="preserve">Ход поршня, </w:t>
            </w:r>
            <w:proofErr w:type="gramStart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85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Степень сжатия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7,5</w:t>
            </w:r>
          </w:p>
        </w:tc>
      </w:tr>
      <w:tr w:rsidR="008658B9" w:rsidRPr="008658B9" w:rsidTr="008658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 xml:space="preserve">Максимальный </w:t>
            </w:r>
            <w:proofErr w:type="spellStart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крутиящий</w:t>
            </w:r>
            <w:proofErr w:type="spellEnd"/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 xml:space="preserve"> момент, Н/м (кгс/м)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8658B9" w:rsidRPr="008658B9" w:rsidRDefault="008658B9" w:rsidP="008658B9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658B9">
              <w:rPr>
                <w:rFonts w:ascii="Georgia" w:eastAsia="Times New Roman" w:hAnsi="Georgia" w:cs="Times New Roman"/>
                <w:sz w:val="24"/>
                <w:szCs w:val="24"/>
              </w:rPr>
              <w:t> 25 (2,55)</w:t>
            </w:r>
          </w:p>
        </w:tc>
      </w:tr>
    </w:tbl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Карбюратор пускового двигателя ПД 10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пускаче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трактора МТЗ 82 применяется однокамерный горизонтальный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беспоплавковый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карбюратор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К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16 или аналогичный. Подача топлива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жиклера в данном карбюраторе контролируется диафрагмой. Во внутренней части корпуса находятся дроссельная и воздушная заслонки, а также диффузор — основная составная часть корпуса. Воздушная заслонка управляется вручную из кабины трактора. Дроссельная заслонка управляется автоматически при помощи тяги от центробежного регулятора или вручную из кабины. Главная дозирующая система включает в себя жиклер-распылитель, седло клапана и пластинчатый клапан.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Система холостого хода состоит из топливного жиклера холостого хода, клапан холостого хода, регулировочного винта, двух отверстий в стенке смесительной камеры и воздушного канала. Карбюратор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оснащен дополнительным устройством, которое облегчает запуск пускового двигателя — механизм принудительного открывания топливного клапана, состоящий из подпружиненной кнопки.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Обслуживание карбюратора заключается в поддержании его чистоты, своевременной промывки и очистке. Каждые 960 часов эксплуатации выкручивайте штуцер подачи топлива, при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этом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не разбирая его, и промывайте его от грязи потоком керосина или бензина. При обильном загрязнении демонтируйте сетку из штуцера и промойте ее. Сам штуцер продуйте сжатым воздухом. При сезонном техническом обслуживании рекомендуется снимать карбюратор и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тащтельно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промывать его от скопившейся грязи.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lastRenderedPageBreak/>
        <w:drawing>
          <wp:inline distT="0" distB="0" distL="0" distR="0">
            <wp:extent cx="5238750" cy="3009900"/>
            <wp:effectExtent l="19050" t="0" r="0" b="0"/>
            <wp:docPr id="11" name="Рисунок 11" descr="Схема карбюратора пуск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карбюратора пускач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Схема карбюратора:</w:t>
      </w: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1 — воздушная заслонка; 2 — диффузор; 3 — дроссельная заслонка; 4 — штуцер подвода топлива; 5 — пружина топливного клапана; 6 — жиклер-распылитель; 7 — клапан; 8 — седло клапана; 9 — крышка корпуса; 10 — диафрагма; 11 — балансировочное отверстие; 12 — кнопка </w:t>
      </w:r>
      <w:proofErr w:type="spellStart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>утопителя</w:t>
      </w:r>
      <w:proofErr w:type="spellEnd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>; 13 — клапан холостого хода; 14 — отверстие холостого хода; 15 — топливный жиклер холостого хода; 16 — регулировочный винт холостого хода;</w:t>
      </w:r>
      <w:proofErr w:type="gramEnd"/>
      <w:r w:rsidRPr="008658B9">
        <w:rPr>
          <w:rFonts w:ascii="Georgia" w:eastAsia="Times New Roman" w:hAnsi="Georgia" w:cs="Times New Roman"/>
          <w:i/>
          <w:iCs/>
          <w:color w:val="2E2E2E"/>
          <w:sz w:val="30"/>
        </w:rPr>
        <w:t xml:space="preserve"> 17 — воздушный канал холостого хода; 18 — топливный канал; 19 — седло топливного канала; 20 — топливный фильтр.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Регулировка карбюратора</w:t>
      </w:r>
      <w:proofErr w:type="gramStart"/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К</w:t>
      </w:r>
      <w:proofErr w:type="gramEnd"/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16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Регулировка необходима при нарушении функционирования дозирующих систем. Состав рабочей смеси, подготавливаемой в карбюраторе, при работе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холостом ходу на минимальных оборотах, регулируется при помощи регулировочного винта. При выкручивании винта смесь обогащается, при закручивании — обедняется. Минимальные устойчивые обороты на холостом ходу регулируются путем изменения степени закрытия заслонки при помощи упорного винта рычага дроссельной заслонки. Заверните винт до упора и отверните его на 2,5 оборота. После чего заведите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при помощи упорного винта дроссельной заслонки установите минимальную устойчивую частоту вращения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Далее, откручивая или закручивая винт, отрегулируйте максимальную частоту вращения на холостом ходу. При полной нагрузке частота вращения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пускового двигателя должна составлять </w:t>
      </w: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3200 об/мин и 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4200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об/мин при холостом ходе. Минимальная устойчивая частота вращения не должна быть меньше 1300 оборотов в минуту.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Регулировка частоты вращения коленчатого вала пускового двигателя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 Регулировку частоты вращения рекомендуется проводить опытному механику. Частота вращения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пускового двигателя регулируется следующим образом.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1. Снимите стартер и кожух маховика для того, чтобы измерить частоту вращения используя тахометр на задней полуоси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. 2. проверьте правильность подсоединения тяги к дроссельной заслонке и регулятору. Шаровые пальцы головок рычагов не должны соприкасаться со стенками соединительной муфты. Между ними должен присутствовать небольшой зазор. Сильное затягивание пружины и неверное положение шаровых пальцев уменьшают чувствительность регулятора. Длина тяги регулируется таким образом, чтобы дроссельная заслонка могла полностью закрываться и открываться. В худшем случае, пусковой двигатель будет развивать повышенные обороты на холостом ходу или недостаточные при максимальной нагрузке. 3. Прогрейте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холостом ходу и отрегулируйте минимальную устойчивую частоту вращения на холостом ходу.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Регулятор ПД 10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На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пускаче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трактора МТЗ 82 применяется однорежимный регулятор центробежного типа, служащий для контроля частоты вращения коленчатого вала.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Шестерня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пускового двигателя посредством промежуточной шестерни приводит во вращение шестерню привода регулятора. В пазах ведущего диска, накрученного на валик, установлены три стальных шарика, которые прижимаются к плоскости опорного диска конической поверхностью подвижного диска. Вращаясь одновременно с ведущим диском, шарики имеют возможность передвигаться под влиянием центробежных сил в радиальном направлении. Подвижный диск свободно смонтирован на валике регулятора и при помощи рычага все время прижимается к шарикам пружины. При увеличении числа оборотов коленчатого вала пускового двигателя под влиянием центробежных сил шарики расходятся, в </w:t>
      </w: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следствии чего подвижный диск передвигается, перемещая наружный рычаг регулятора, который при помощи тяги прикрывает дроссельную заслонку карбюратора</w:t>
      </w: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К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16. В данном случае уменьшается число оборотов </w:t>
      </w:r>
      <w:proofErr w:type="spellStart"/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подвижный диск передвигается в обратном направлении. При открытии дроссельной заслонки карбюратора — обороты коленчатого вала увеличиваются. Данным образом контролируются обороты коленчатого вала в определенном диапазоне.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Установка магнето и зажигание на ПД 10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Зажигание на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пускаче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устанавливается на заводе и его регулировка во время эксплуатации не требуется. В том случае, если магнето снималось с пускового двигателя, необходимо выполнить следующие шаги для его правильной установки: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1. отсоедините провод от свечи и выкрутите ее; 2. вставьте через свечное отверстие чистый стержень и, проворачивая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 часовой стрелке, установите поршень в верхнюю мертвую точку; 3. установить поршень на 5-6 мм ниже верхней мертвой точки путем проворачивания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коленвала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противоположную сторону; 4. снимите крышку прерывателя и установить валик в положение начала разрыва контактов прерывателя.</w:t>
      </w:r>
      <w:proofErr w:type="gram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данном положении введите выступ полумуфты магнето в пазы шестерни привода и закрепите магнето; 5. установите крышку магнето и свечу обратно и подсоедините провод к свече. После каждых 960 часов работы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двгателя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рекомендуется очищать свечу зажигания от нагара и контролировать зазор между электродами. Зазор между электродами в свече зажигания должен составлять 0,60-0,75 мм.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Регулировка и ремонт </w:t>
      </w:r>
      <w:proofErr w:type="spellStart"/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b/>
          <w:bCs/>
          <w:color w:val="2E2E2E"/>
          <w:sz w:val="30"/>
        </w:rPr>
        <w:t xml:space="preserve"> ПД-10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Обслуживание пускового двигателя и редуктора заключается в следующих действиях. В топливный бачок заливается горючая смесь на основе бензина и моторного масла в соотношении 15 к 1. Бензин с маслом смешивается в чистой емкости и потом при помощи воронки оснащенной фильтром заливается в бачок. Не допускается использование чистого бензина или бензина с малым содержанием масла, так как это приведет к нарушению смазывания трущихся механизмов пускового двигателя. Время от времени промывайте отстойник топливного бака. После каждые 480 часов эксплуатации промывайте фильтр воздухоочистителя </w:t>
      </w:r>
      <w:proofErr w:type="spellStart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пускача</w:t>
      </w:r>
      <w:proofErr w:type="spellEnd"/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 xml:space="preserve">. Для этого необходимо снять колпак воздухоочистителя и </w:t>
      </w: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ограничитель; демонтировать и промыть в солярке фильтрующий элемент и смочить его маслом.</w:t>
      </w:r>
    </w:p>
    <w:p w:rsidR="008658B9" w:rsidRPr="008658B9" w:rsidRDefault="008658B9" w:rsidP="008658B9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658B9">
        <w:rPr>
          <w:rFonts w:ascii="Georgia" w:eastAsia="Times New Roman" w:hAnsi="Georgia" w:cs="Times New Roman"/>
          <w:color w:val="2E2E2E"/>
          <w:sz w:val="30"/>
          <w:szCs w:val="30"/>
        </w:rPr>
        <w:t>Обслуживание редуктора заключается в проверке и замене масла, а также проведении необходимых регулировок механизма дистанционного управления. Каждые 480 часов работы проверяйте уровень масла в корпусе редуктора, а через 960 часов проводите замену масла. Каждые 960 часов проверяйте регулировку сцепления редуктора. Время непрерывной работы пускового двигателя под нагрузкой не должно превышать десяти минут.</w:t>
      </w:r>
    </w:p>
    <w:p w:rsidR="008658B9" w:rsidRPr="008658B9" w:rsidRDefault="008658B9" w:rsidP="008658B9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</w:pPr>
    </w:p>
    <w:sectPr w:rsidR="008658B9" w:rsidRPr="0086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8B9"/>
    <w:rsid w:val="0086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58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658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58B9"/>
    <w:rPr>
      <w:b/>
      <w:bCs/>
    </w:rPr>
  </w:style>
  <w:style w:type="character" w:styleId="a6">
    <w:name w:val="Emphasis"/>
    <w:basedOn w:val="a0"/>
    <w:uiPriority w:val="20"/>
    <w:qFormat/>
    <w:rsid w:val="008658B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aster.starshi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2020-05-13T06:16:00Z</dcterms:created>
  <dcterms:modified xsi:type="dcterms:W3CDTF">2020-05-13T06:25:00Z</dcterms:modified>
</cp:coreProperties>
</file>