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3E" w:rsidRPr="00E42E3E" w:rsidRDefault="00E42E3E" w:rsidP="00E42E3E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8"/>
          <w:szCs w:val="48"/>
        </w:rPr>
      </w:pPr>
      <w:r w:rsidRPr="00E42E3E">
        <w:rPr>
          <w:rFonts w:ascii="Georgia" w:eastAsia="Times New Roman" w:hAnsi="Georgia" w:cs="Times New Roman"/>
          <w:color w:val="2E2E2E"/>
          <w:kern w:val="36"/>
          <w:sz w:val="48"/>
          <w:szCs w:val="48"/>
        </w:rPr>
        <w:t>Буксировка транспортных средств в ПДД 2020 года</w:t>
      </w:r>
    </w:p>
    <w:p w:rsidR="00E42E3E" w:rsidRPr="00E42E3E" w:rsidRDefault="00E42E3E" w:rsidP="00E42E3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>
        <w:rPr>
          <w:rFonts w:ascii="Georgia" w:eastAsia="Times New Roman" w:hAnsi="Georgia" w:cs="Times New Roman"/>
          <w:noProof/>
          <w:color w:val="2E2E2E"/>
          <w:sz w:val="32"/>
          <w:szCs w:val="32"/>
        </w:rPr>
        <w:drawing>
          <wp:inline distT="0" distB="0" distL="0" distR="0">
            <wp:extent cx="1426845" cy="1426845"/>
            <wp:effectExtent l="19050" t="0" r="1905" b="0"/>
            <wp:docPr id="1" name="Рисунок 1" descr="Правила буксировки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уксировки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E3E" w:rsidRPr="00E42E3E" w:rsidRDefault="00E42E3E" w:rsidP="00E42E3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>
        <w:rPr>
          <w:rFonts w:ascii="Georgia" w:eastAsia="Times New Roman" w:hAnsi="Georgia" w:cs="Times New Roman"/>
          <w:color w:val="2E2E2E"/>
          <w:sz w:val="32"/>
          <w:szCs w:val="32"/>
        </w:rPr>
        <w:t xml:space="preserve"> </w:t>
      </w:r>
    </w:p>
    <w:p w:rsidR="00E42E3E" w:rsidRPr="00E42E3E" w:rsidRDefault="00E42E3E" w:rsidP="00E42E3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В </w:t>
      </w:r>
      <w:r>
        <w:rPr>
          <w:rFonts w:ascii="Georgia" w:eastAsia="Times New Roman" w:hAnsi="Georgia" w:cs="Times New Roman"/>
          <w:color w:val="2E2E2E"/>
          <w:sz w:val="32"/>
          <w:szCs w:val="32"/>
        </w:rPr>
        <w:t xml:space="preserve"> </w:t>
      </w: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 xml:space="preserve"> "Правила буксировки автомобиля" были рассмотрены </w:t>
      </w:r>
      <w:hyperlink r:id="rId6" w:history="1">
        <w:r w:rsidRPr="00E42E3E">
          <w:rPr>
            <w:rFonts w:ascii="Georgia" w:eastAsia="Times New Roman" w:hAnsi="Georgia" w:cs="Times New Roman"/>
            <w:color w:val="0000FF"/>
            <w:sz w:val="32"/>
            <w:u w:val="single"/>
          </w:rPr>
          <w:t>виды буксировки</w:t>
        </w:r>
      </w:hyperlink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 и их основные особенности. Напомню, что речь шла о буксировке на гибкой сцепке, на жесткой сцепке, методом частичной погрузки.</w:t>
      </w:r>
    </w:p>
    <w:p w:rsidR="00E42E3E" w:rsidRPr="00E42E3E" w:rsidRDefault="00E42E3E" w:rsidP="00E42E3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В этой статье будут рассмотрены </w:t>
      </w:r>
      <w:r w:rsidRPr="00E42E3E">
        <w:rPr>
          <w:rFonts w:ascii="Georgia" w:eastAsia="Times New Roman" w:hAnsi="Georgia" w:cs="Times New Roman"/>
          <w:b/>
          <w:bCs/>
          <w:color w:val="2E2E2E"/>
          <w:sz w:val="32"/>
        </w:rPr>
        <w:t>правила буксировки транспортных средств</w:t>
      </w: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, которые являются общими для всех видов буксировки, а также возможные наказания за нарушения этих правил:</w:t>
      </w:r>
    </w:p>
    <w:p w:rsidR="00E42E3E" w:rsidRPr="00E42E3E" w:rsidRDefault="00E42E3E" w:rsidP="00E42E3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hyperlink r:id="rId7" w:anchor="1" w:history="1">
        <w:r w:rsidRPr="00E42E3E">
          <w:rPr>
            <w:rFonts w:ascii="Georgia" w:eastAsia="Times New Roman" w:hAnsi="Georgia" w:cs="Times New Roman"/>
            <w:color w:val="0000FF"/>
            <w:sz w:val="32"/>
            <w:u w:val="single"/>
          </w:rPr>
          <w:t>Буксирующее и буксируемое транспортные средства.</w:t>
        </w:r>
      </w:hyperlink>
    </w:p>
    <w:p w:rsidR="00E42E3E" w:rsidRPr="00E42E3E" w:rsidRDefault="00E42E3E" w:rsidP="00E42E3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hyperlink r:id="rId8" w:anchor="2" w:history="1">
        <w:r w:rsidRPr="00E42E3E">
          <w:rPr>
            <w:rFonts w:ascii="Georgia" w:eastAsia="Times New Roman" w:hAnsi="Georgia" w:cs="Times New Roman"/>
            <w:color w:val="0000FF"/>
            <w:sz w:val="32"/>
            <w:u w:val="single"/>
          </w:rPr>
          <w:t>Световые приборы при буксировке.</w:t>
        </w:r>
      </w:hyperlink>
    </w:p>
    <w:p w:rsidR="00E42E3E" w:rsidRPr="00E42E3E" w:rsidRDefault="00E42E3E" w:rsidP="00E42E3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hyperlink r:id="rId9" w:anchor="3" w:history="1">
        <w:r w:rsidRPr="00E42E3E">
          <w:rPr>
            <w:rFonts w:ascii="Georgia" w:eastAsia="Times New Roman" w:hAnsi="Georgia" w:cs="Times New Roman"/>
            <w:color w:val="0000FF"/>
            <w:sz w:val="32"/>
            <w:u w:val="single"/>
          </w:rPr>
          <w:t>Максимальная скорость при буксировке.</w:t>
        </w:r>
      </w:hyperlink>
    </w:p>
    <w:p w:rsidR="00E42E3E" w:rsidRPr="00E42E3E" w:rsidRDefault="00E42E3E" w:rsidP="00E42E3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hyperlink r:id="rId10" w:anchor="4" w:history="1">
        <w:r w:rsidRPr="00E42E3E">
          <w:rPr>
            <w:rFonts w:ascii="Georgia" w:eastAsia="Times New Roman" w:hAnsi="Georgia" w:cs="Times New Roman"/>
            <w:color w:val="0000FF"/>
            <w:sz w:val="32"/>
            <w:u w:val="single"/>
          </w:rPr>
          <w:t>Буксировка на автомагистрали.</w:t>
        </w:r>
      </w:hyperlink>
    </w:p>
    <w:p w:rsidR="00E42E3E" w:rsidRPr="00E42E3E" w:rsidRDefault="00E42E3E" w:rsidP="00E42E3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hyperlink r:id="rId11" w:anchor="5" w:history="1">
        <w:r w:rsidRPr="00E42E3E">
          <w:rPr>
            <w:rFonts w:ascii="Georgia" w:eastAsia="Times New Roman" w:hAnsi="Georgia" w:cs="Times New Roman"/>
            <w:color w:val="0000FF"/>
            <w:sz w:val="32"/>
            <w:u w:val="single"/>
          </w:rPr>
          <w:t>Стаж водителей при буксировке.</w:t>
        </w:r>
      </w:hyperlink>
    </w:p>
    <w:p w:rsidR="00E42E3E" w:rsidRPr="00E42E3E" w:rsidRDefault="00E42E3E" w:rsidP="00E42E3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hyperlink r:id="rId12" w:anchor="6" w:history="1">
        <w:r w:rsidRPr="00E42E3E">
          <w:rPr>
            <w:rFonts w:ascii="Georgia" w:eastAsia="Times New Roman" w:hAnsi="Georgia" w:cs="Times New Roman"/>
            <w:color w:val="0000FF"/>
            <w:sz w:val="32"/>
            <w:u w:val="single"/>
          </w:rPr>
          <w:t>Условия, при которых запрещена буксировка.</w:t>
        </w:r>
      </w:hyperlink>
    </w:p>
    <w:p w:rsidR="00E42E3E" w:rsidRPr="00E42E3E" w:rsidRDefault="00E42E3E" w:rsidP="00E42E3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hyperlink r:id="rId13" w:anchor="7" w:history="1">
        <w:r w:rsidRPr="00E42E3E">
          <w:rPr>
            <w:rFonts w:ascii="Georgia" w:eastAsia="Times New Roman" w:hAnsi="Georgia" w:cs="Times New Roman"/>
            <w:color w:val="0000FF"/>
            <w:sz w:val="32"/>
            <w:u w:val="single"/>
          </w:rPr>
          <w:t>Штраф за неправильную буксировку.</w:t>
        </w:r>
      </w:hyperlink>
    </w:p>
    <w:p w:rsidR="00E42E3E" w:rsidRPr="00E42E3E" w:rsidRDefault="00E42E3E" w:rsidP="00E42E3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hyperlink r:id="rId14" w:anchor="8" w:history="1">
        <w:r w:rsidRPr="00E42E3E">
          <w:rPr>
            <w:rFonts w:ascii="Georgia" w:eastAsia="Times New Roman" w:hAnsi="Georgia" w:cs="Times New Roman"/>
            <w:color w:val="0000FF"/>
            <w:sz w:val="32"/>
            <w:u w:val="single"/>
          </w:rPr>
          <w:t>ДТП при буксировке.</w:t>
        </w:r>
      </w:hyperlink>
    </w:p>
    <w:p w:rsidR="00E42E3E" w:rsidRPr="00E42E3E" w:rsidRDefault="00E42E3E" w:rsidP="00E42E3E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41"/>
          <w:szCs w:val="41"/>
        </w:rPr>
      </w:pPr>
      <w:bookmarkStart w:id="0" w:name="1"/>
      <w:bookmarkEnd w:id="0"/>
      <w:r w:rsidRPr="00E42E3E">
        <w:rPr>
          <w:rFonts w:ascii="Georgia" w:eastAsia="Times New Roman" w:hAnsi="Georgia" w:cs="Times New Roman"/>
          <w:color w:val="2E2E2E"/>
          <w:sz w:val="41"/>
          <w:szCs w:val="41"/>
        </w:rPr>
        <w:t>Буксирующее и буксируемое транспортные средства</w:t>
      </w:r>
    </w:p>
    <w:p w:rsidR="00E42E3E" w:rsidRPr="00E42E3E" w:rsidRDefault="00E42E3E" w:rsidP="00E42E3E">
      <w:pPr>
        <w:spacing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Для начала рассмотрим различия понятий "буксирующее ТС" и "буксируемое ТС", которые довольно часто вызывают затруднения у водителей, впервые взявших в руки </w:t>
      </w:r>
      <w:hyperlink r:id="rId15" w:history="1">
        <w:r w:rsidRPr="00E42E3E">
          <w:rPr>
            <w:rFonts w:ascii="Georgia" w:eastAsia="Times New Roman" w:hAnsi="Georgia" w:cs="Times New Roman"/>
            <w:color w:val="0000FF"/>
            <w:sz w:val="32"/>
            <w:u w:val="single"/>
          </w:rPr>
          <w:t>правила дорожного движения</w:t>
        </w:r>
      </w:hyperlink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.</w:t>
      </w:r>
    </w:p>
    <w:p w:rsidR="00E42E3E" w:rsidRPr="00E42E3E" w:rsidRDefault="00E42E3E" w:rsidP="00E42E3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>
        <w:rPr>
          <w:rFonts w:ascii="Georgia" w:eastAsia="Times New Roman" w:hAnsi="Georgia" w:cs="Times New Roman"/>
          <w:noProof/>
          <w:color w:val="2E2E2E"/>
          <w:sz w:val="32"/>
          <w:szCs w:val="32"/>
        </w:rPr>
        <w:lastRenderedPageBreak/>
        <w:drawing>
          <wp:inline distT="0" distB="0" distL="0" distR="0">
            <wp:extent cx="5717540" cy="4572000"/>
            <wp:effectExtent l="19050" t="0" r="0" b="0"/>
            <wp:docPr id="2" name="Рисунок 2" descr="https://pddmaster.ru/img/text/110912-buks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ddmaster.ru/img/text/110912-buksir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E3E" w:rsidRPr="00E42E3E" w:rsidRDefault="00E42E3E" w:rsidP="00E42E3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E42E3E">
        <w:rPr>
          <w:rFonts w:ascii="Georgia" w:eastAsia="Times New Roman" w:hAnsi="Georgia" w:cs="Times New Roman"/>
          <w:b/>
          <w:bCs/>
          <w:color w:val="2E2E2E"/>
          <w:sz w:val="32"/>
        </w:rPr>
        <w:t>Буксирующее ТС</w:t>
      </w: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 - это автомобиль, который выполняет буксировку. Он находится спереди и тянет другой автомобиль с помощью гибкой или жесткой сцепки. На рисунке выше буксирующим транспортным средством является синий автомобиль.</w:t>
      </w:r>
    </w:p>
    <w:p w:rsidR="00E42E3E" w:rsidRPr="00E42E3E" w:rsidRDefault="00E42E3E" w:rsidP="00E42E3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E42E3E">
        <w:rPr>
          <w:rFonts w:ascii="Georgia" w:eastAsia="Times New Roman" w:hAnsi="Georgia" w:cs="Times New Roman"/>
          <w:b/>
          <w:bCs/>
          <w:color w:val="2E2E2E"/>
          <w:sz w:val="32"/>
        </w:rPr>
        <w:t>Буксируемое ТС</w:t>
      </w: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 - это автомобиль, который находится сзади, т.е. автомобиль, который тянут на буксире. На картинке буксируемым транспортным средством является белый автомобиль.</w:t>
      </w:r>
      <w:bookmarkStart w:id="1" w:name="2"/>
      <w:bookmarkEnd w:id="1"/>
    </w:p>
    <w:p w:rsidR="00E42E3E" w:rsidRPr="00E42E3E" w:rsidRDefault="00E42E3E" w:rsidP="00E42E3E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41"/>
          <w:szCs w:val="41"/>
        </w:rPr>
      </w:pPr>
      <w:r w:rsidRPr="00E42E3E">
        <w:rPr>
          <w:rFonts w:ascii="Georgia" w:eastAsia="Times New Roman" w:hAnsi="Georgia" w:cs="Times New Roman"/>
          <w:color w:val="2E2E2E"/>
          <w:sz w:val="41"/>
          <w:szCs w:val="41"/>
        </w:rPr>
        <w:t>Световые приборы при буксировке</w:t>
      </w:r>
    </w:p>
    <w:p w:rsidR="00E42E3E" w:rsidRPr="00E42E3E" w:rsidRDefault="00E42E3E" w:rsidP="00E42E3E">
      <w:pPr>
        <w:spacing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Правила дорожного движения требуют, чтобы буксируемое (находящееся сзади) транспортное средство было выделено на дороге:</w:t>
      </w:r>
    </w:p>
    <w:p w:rsidR="00E42E3E" w:rsidRPr="00E42E3E" w:rsidRDefault="00E42E3E" w:rsidP="00E42E3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proofErr w:type="spellStart"/>
      <w:r w:rsidRPr="00E42E3E">
        <w:rPr>
          <w:rFonts w:ascii="Georgia" w:eastAsia="Times New Roman" w:hAnsi="Georgia" w:cs="Times New Roman"/>
          <w:b/>
          <w:bCs/>
          <w:color w:val="2E2E2E"/>
          <w:sz w:val="32"/>
        </w:rPr>
        <w:t>Аварийкой</w:t>
      </w:r>
      <w:proofErr w:type="spellEnd"/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 xml:space="preserve"> (аварийной световой сигнализацией) или знаком аварийной остановки. Знак аварийной остановки допускается использовать только в том случае, если </w:t>
      </w: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lastRenderedPageBreak/>
        <w:t>аварийная световая сигнализация неисправна. Сам знак в этом случае закрепляется на задней части буксируемого автомобиля.</w:t>
      </w:r>
    </w:p>
    <w:p w:rsidR="00E42E3E" w:rsidRPr="00E42E3E" w:rsidRDefault="00E42E3E" w:rsidP="00E42E3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E42E3E">
        <w:rPr>
          <w:rFonts w:ascii="Georgia" w:eastAsia="Times New Roman" w:hAnsi="Georgia" w:cs="Times New Roman"/>
          <w:b/>
          <w:bCs/>
          <w:color w:val="2E2E2E"/>
          <w:sz w:val="32"/>
        </w:rPr>
        <w:t>Габаритными огнями</w:t>
      </w: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. При движении в темное время суток или в тоннелях.</w:t>
      </w:r>
    </w:p>
    <w:p w:rsidR="00E42E3E" w:rsidRPr="00E42E3E" w:rsidRDefault="00E42E3E" w:rsidP="00E42E3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Кроме того, не забывайте, что в 2020 году на всех движущихся транспортных средствах должны быть включены </w:t>
      </w:r>
      <w:hyperlink r:id="rId17" w:history="1">
        <w:r w:rsidRPr="00E42E3E">
          <w:rPr>
            <w:rFonts w:ascii="Georgia" w:eastAsia="Times New Roman" w:hAnsi="Georgia" w:cs="Times New Roman"/>
            <w:color w:val="0000FF"/>
            <w:sz w:val="32"/>
            <w:u w:val="single"/>
          </w:rPr>
          <w:t>дневные ходовые огни</w:t>
        </w:r>
      </w:hyperlink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 xml:space="preserve">, ближний свет фар или </w:t>
      </w:r>
      <w:proofErr w:type="spellStart"/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противотуманные</w:t>
      </w:r>
      <w:proofErr w:type="spellEnd"/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 xml:space="preserve"> фары.</w:t>
      </w:r>
    </w:p>
    <w:p w:rsidR="00E42E3E" w:rsidRPr="00E42E3E" w:rsidRDefault="00E42E3E" w:rsidP="00E42E3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То есть и на </w:t>
      </w:r>
      <w:proofErr w:type="gramStart"/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буксирующем</w:t>
      </w:r>
      <w:proofErr w:type="gramEnd"/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, и на буксируемом транспортных средствах должен быть включен один из перечисленных типов световых приборов.</w:t>
      </w:r>
      <w:bookmarkStart w:id="2" w:name="3"/>
      <w:bookmarkEnd w:id="2"/>
    </w:p>
    <w:p w:rsidR="00E42E3E" w:rsidRPr="00E42E3E" w:rsidRDefault="00E42E3E" w:rsidP="00E42E3E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41"/>
          <w:szCs w:val="41"/>
        </w:rPr>
      </w:pPr>
      <w:r w:rsidRPr="00E42E3E">
        <w:rPr>
          <w:rFonts w:ascii="Georgia" w:eastAsia="Times New Roman" w:hAnsi="Georgia" w:cs="Times New Roman"/>
          <w:color w:val="2E2E2E"/>
          <w:sz w:val="41"/>
          <w:szCs w:val="41"/>
        </w:rPr>
        <w:t>Максимальная скорость при буксировке</w:t>
      </w:r>
    </w:p>
    <w:p w:rsidR="00E42E3E" w:rsidRPr="00E42E3E" w:rsidRDefault="00E42E3E" w:rsidP="00E42E3E">
      <w:pPr>
        <w:spacing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Максимальная скорость при буксировке составляет </w:t>
      </w:r>
      <w:r w:rsidRPr="00E42E3E">
        <w:rPr>
          <w:rFonts w:ascii="Georgia" w:eastAsia="Times New Roman" w:hAnsi="Georgia" w:cs="Times New Roman"/>
          <w:b/>
          <w:bCs/>
          <w:color w:val="2E2E2E"/>
          <w:sz w:val="32"/>
        </w:rPr>
        <w:t>50 км/ч</w:t>
      </w: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 (пункт 10.4 ПДД). Данная цифра не зависит от того, происходит буксировка в населенном пункте или за его пределами.</w:t>
      </w:r>
    </w:p>
    <w:p w:rsidR="00E42E3E" w:rsidRPr="00E42E3E" w:rsidRDefault="00E42E3E" w:rsidP="00E42E3E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41"/>
          <w:szCs w:val="41"/>
        </w:rPr>
      </w:pPr>
      <w:bookmarkStart w:id="3" w:name="4"/>
      <w:bookmarkEnd w:id="3"/>
      <w:r w:rsidRPr="00E42E3E">
        <w:rPr>
          <w:rFonts w:ascii="Georgia" w:eastAsia="Times New Roman" w:hAnsi="Georgia" w:cs="Times New Roman"/>
          <w:color w:val="2E2E2E"/>
          <w:sz w:val="41"/>
          <w:szCs w:val="41"/>
        </w:rPr>
        <w:t>Буксировка на автомагистрали</w:t>
      </w:r>
    </w:p>
    <w:p w:rsidR="00E42E3E" w:rsidRPr="00E42E3E" w:rsidRDefault="00E42E3E" w:rsidP="00E42E3E">
      <w:pPr>
        <w:spacing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Буксировка на автомагистрали в 2020 году </w:t>
      </w:r>
      <w:r w:rsidRPr="00E42E3E">
        <w:rPr>
          <w:rFonts w:ascii="Georgia" w:eastAsia="Times New Roman" w:hAnsi="Georgia" w:cs="Times New Roman"/>
          <w:b/>
          <w:bCs/>
          <w:color w:val="2E2E2E"/>
          <w:sz w:val="32"/>
        </w:rPr>
        <w:t>не запрещена</w:t>
      </w: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 правилами дорожного движения.</w:t>
      </w:r>
    </w:p>
    <w:p w:rsidR="00E42E3E" w:rsidRPr="00E42E3E" w:rsidRDefault="00E42E3E" w:rsidP="00E42E3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Однако хочу напомнить, что если буксирующее и буксируемое транспортные средства не могут ехать быстрее 40 км/ч, то движение по автомагистрали для них является нарушением правил.</w:t>
      </w:r>
    </w:p>
    <w:p w:rsidR="00E42E3E" w:rsidRPr="00E42E3E" w:rsidRDefault="00E42E3E" w:rsidP="00E42E3E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41"/>
          <w:szCs w:val="41"/>
        </w:rPr>
      </w:pPr>
      <w:bookmarkStart w:id="4" w:name="5"/>
      <w:bookmarkEnd w:id="4"/>
      <w:r w:rsidRPr="00E42E3E">
        <w:rPr>
          <w:rFonts w:ascii="Georgia" w:eastAsia="Times New Roman" w:hAnsi="Georgia" w:cs="Times New Roman"/>
          <w:color w:val="2E2E2E"/>
          <w:sz w:val="41"/>
          <w:szCs w:val="41"/>
        </w:rPr>
        <w:t>Стаж водителей при буксировке</w:t>
      </w:r>
    </w:p>
    <w:p w:rsidR="00E42E3E" w:rsidRPr="00E42E3E" w:rsidRDefault="00E42E3E" w:rsidP="00E42E3E">
      <w:pPr>
        <w:spacing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В 2020 году водителем буксирующего транспортного средства может быть только человек, имеющий водительское удостоверение в течение </w:t>
      </w:r>
      <w:r w:rsidRPr="00E42E3E">
        <w:rPr>
          <w:rFonts w:ascii="Georgia" w:eastAsia="Times New Roman" w:hAnsi="Georgia" w:cs="Times New Roman"/>
          <w:b/>
          <w:bCs/>
          <w:color w:val="2E2E2E"/>
          <w:sz w:val="32"/>
        </w:rPr>
        <w:t>2-х или более лет</w:t>
      </w: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. То есть начинающий водитель не может управлять буксирующим автомобилем. Подробнее о данном изменении от 4 апреля 2017 года Вы можете узнать в </w:t>
      </w:r>
      <w:hyperlink r:id="rId18" w:history="1">
        <w:r w:rsidRPr="00E42E3E">
          <w:rPr>
            <w:rFonts w:ascii="Georgia" w:eastAsia="Times New Roman" w:hAnsi="Georgia" w:cs="Times New Roman"/>
            <w:color w:val="0000FF"/>
            <w:sz w:val="32"/>
            <w:u w:val="single"/>
          </w:rPr>
          <w:t>отдельной статье</w:t>
        </w:r>
      </w:hyperlink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.</w:t>
      </w:r>
    </w:p>
    <w:p w:rsidR="00E42E3E" w:rsidRPr="00E42E3E" w:rsidRDefault="00E42E3E" w:rsidP="00E42E3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lastRenderedPageBreak/>
        <w:t>К водителям буксируемых транспортных средств подобные требования не предъявляются.</w:t>
      </w:r>
      <w:bookmarkStart w:id="5" w:name="6"/>
      <w:bookmarkEnd w:id="5"/>
    </w:p>
    <w:p w:rsidR="00E42E3E" w:rsidRPr="00E42E3E" w:rsidRDefault="00E42E3E" w:rsidP="00E42E3E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41"/>
          <w:szCs w:val="41"/>
        </w:rPr>
      </w:pPr>
      <w:r w:rsidRPr="00E42E3E">
        <w:rPr>
          <w:rFonts w:ascii="Georgia" w:eastAsia="Times New Roman" w:hAnsi="Georgia" w:cs="Times New Roman"/>
          <w:color w:val="2E2E2E"/>
          <w:sz w:val="41"/>
          <w:szCs w:val="41"/>
        </w:rPr>
        <w:t>Условия, при которых запрещена буксировка транспортных средств</w:t>
      </w:r>
    </w:p>
    <w:p w:rsidR="00E42E3E" w:rsidRPr="00E42E3E" w:rsidRDefault="00E42E3E" w:rsidP="00E42E3E">
      <w:pPr>
        <w:spacing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1. Знак "движение с прицепом запрещено" запрещает буксировку механических транспортных средств:</w:t>
      </w:r>
    </w:p>
    <w:p w:rsidR="00E42E3E" w:rsidRPr="00E42E3E" w:rsidRDefault="00E42E3E" w:rsidP="00E42E3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>
        <w:rPr>
          <w:rFonts w:ascii="Georgia" w:eastAsia="Times New Roman" w:hAnsi="Georgia" w:cs="Times New Roman"/>
          <w:noProof/>
          <w:color w:val="2E2E2E"/>
          <w:sz w:val="32"/>
          <w:szCs w:val="32"/>
        </w:rPr>
        <w:drawing>
          <wp:inline distT="0" distB="0" distL="0" distR="0">
            <wp:extent cx="633095" cy="633095"/>
            <wp:effectExtent l="19050" t="0" r="0" b="0"/>
            <wp:docPr id="3" name="Рисунок 3" descr="Знак 3.7 Движение с прицепом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3.7 Движение с прицепом запрещено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E3E" w:rsidRPr="00E42E3E" w:rsidRDefault="00E42E3E" w:rsidP="00E42E3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2. Запрещается буксировка мотоциклами без бокового прицепа, мопедами и велосипедами, а также буксировка таких транспортных средств. Т.е. мотоциклы, </w:t>
      </w:r>
      <w:hyperlink r:id="rId20" w:history="1">
        <w:r w:rsidRPr="00E42E3E">
          <w:rPr>
            <w:rFonts w:ascii="Georgia" w:eastAsia="Times New Roman" w:hAnsi="Georgia" w:cs="Times New Roman"/>
            <w:color w:val="0000FF"/>
            <w:sz w:val="32"/>
            <w:u w:val="single"/>
          </w:rPr>
          <w:t>велосипеды</w:t>
        </w:r>
      </w:hyperlink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 и </w:t>
      </w:r>
      <w:hyperlink r:id="rId21" w:history="1">
        <w:r w:rsidRPr="00E42E3E">
          <w:rPr>
            <w:rFonts w:ascii="Georgia" w:eastAsia="Times New Roman" w:hAnsi="Georgia" w:cs="Times New Roman"/>
            <w:color w:val="0000FF"/>
            <w:sz w:val="32"/>
            <w:u w:val="single"/>
          </w:rPr>
          <w:t>мопеды</w:t>
        </w:r>
      </w:hyperlink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 не могут выступать ни в качестве буксирующего, ни в качестве буксируемого транспортного средства.</w:t>
      </w:r>
    </w:p>
    <w:p w:rsidR="00E42E3E" w:rsidRPr="00E42E3E" w:rsidRDefault="00E42E3E" w:rsidP="00E42E3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3. Запрещается буксировка одновременно нескольких транспортных средств.</w:t>
      </w:r>
    </w:p>
    <w:p w:rsidR="00E42E3E" w:rsidRPr="00E42E3E" w:rsidRDefault="00E42E3E" w:rsidP="00E42E3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E42E3E">
        <w:rPr>
          <w:rFonts w:ascii="Georgia" w:eastAsia="Times New Roman" w:hAnsi="Georgia" w:cs="Times New Roman"/>
          <w:i/>
          <w:iCs/>
          <w:color w:val="2E2E2E"/>
          <w:sz w:val="32"/>
        </w:rPr>
        <w:t>Примечание.</w:t>
      </w: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 При этом одновременная буксировка нескольких </w:t>
      </w:r>
      <w:hyperlink r:id="rId22" w:history="1">
        <w:r w:rsidRPr="00E42E3E">
          <w:rPr>
            <w:rFonts w:ascii="Georgia" w:eastAsia="Times New Roman" w:hAnsi="Georgia" w:cs="Times New Roman"/>
            <w:color w:val="0000FF"/>
            <w:sz w:val="32"/>
            <w:u w:val="single"/>
          </w:rPr>
          <w:t>прицепов</w:t>
        </w:r>
      </w:hyperlink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 правилами не запрещается.</w:t>
      </w:r>
    </w:p>
    <w:p w:rsidR="00E42E3E" w:rsidRPr="00E42E3E" w:rsidRDefault="00E42E3E" w:rsidP="00E42E3E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41"/>
          <w:szCs w:val="41"/>
        </w:rPr>
      </w:pPr>
      <w:bookmarkStart w:id="6" w:name="7"/>
      <w:bookmarkEnd w:id="6"/>
      <w:r w:rsidRPr="00E42E3E">
        <w:rPr>
          <w:rFonts w:ascii="Georgia" w:eastAsia="Times New Roman" w:hAnsi="Georgia" w:cs="Times New Roman"/>
          <w:color w:val="2E2E2E"/>
          <w:sz w:val="41"/>
          <w:szCs w:val="41"/>
        </w:rPr>
        <w:t>Штраф за неправильную буксировку</w:t>
      </w:r>
    </w:p>
    <w:p w:rsidR="00E42E3E" w:rsidRPr="00E42E3E" w:rsidRDefault="00E42E3E" w:rsidP="00E42E3E">
      <w:pPr>
        <w:spacing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В настоящее время наказанием за нарушение правил буксировки является предупреждение или административный штраф в размере </w:t>
      </w:r>
      <w:r w:rsidRPr="00E42E3E">
        <w:rPr>
          <w:rFonts w:ascii="Georgia" w:eastAsia="Times New Roman" w:hAnsi="Georgia" w:cs="Times New Roman"/>
          <w:b/>
          <w:bCs/>
          <w:color w:val="2E2E2E"/>
          <w:sz w:val="32"/>
        </w:rPr>
        <w:t>500 рублей</w:t>
      </w: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 (</w:t>
      </w:r>
      <w:hyperlink r:id="rId23" w:history="1">
        <w:r w:rsidRPr="00E42E3E">
          <w:rPr>
            <w:rFonts w:ascii="Georgia" w:eastAsia="Times New Roman" w:hAnsi="Georgia" w:cs="Times New Roman"/>
            <w:color w:val="0000FF"/>
            <w:sz w:val="32"/>
            <w:u w:val="single"/>
          </w:rPr>
          <w:t>статья 12.21 </w:t>
        </w:r>
        <w:proofErr w:type="spellStart"/>
        <w:r w:rsidRPr="00E42E3E">
          <w:rPr>
            <w:rFonts w:ascii="Georgia" w:eastAsia="Times New Roman" w:hAnsi="Georgia" w:cs="Times New Roman"/>
            <w:color w:val="0000FF"/>
            <w:sz w:val="32"/>
            <w:u w:val="single"/>
          </w:rPr>
          <w:t>КоАП</w:t>
        </w:r>
        <w:proofErr w:type="spellEnd"/>
      </w:hyperlink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).</w:t>
      </w:r>
      <w:bookmarkStart w:id="7" w:name="8"/>
      <w:bookmarkEnd w:id="7"/>
    </w:p>
    <w:p w:rsidR="00E42E3E" w:rsidRPr="00E42E3E" w:rsidRDefault="00E42E3E" w:rsidP="00E42E3E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41"/>
          <w:szCs w:val="41"/>
        </w:rPr>
      </w:pPr>
      <w:r w:rsidRPr="00E42E3E">
        <w:rPr>
          <w:rFonts w:ascii="Georgia" w:eastAsia="Times New Roman" w:hAnsi="Georgia" w:cs="Times New Roman"/>
          <w:color w:val="2E2E2E"/>
          <w:sz w:val="41"/>
          <w:szCs w:val="41"/>
        </w:rPr>
        <w:t>ДТП при буксировке</w:t>
      </w:r>
    </w:p>
    <w:p w:rsidR="00E42E3E" w:rsidRPr="00E42E3E" w:rsidRDefault="00E42E3E" w:rsidP="00E42E3E">
      <w:pPr>
        <w:spacing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В случае ДТП, участниками которого являются буксирующее и буксируемое транспортные средства, виновником в большинстве случаев будет водитель буксируемого (находящегося сзади) автомобиля (пункт 10.1 ПДД).</w:t>
      </w:r>
    </w:p>
    <w:p w:rsidR="00E42E3E" w:rsidRPr="00E42E3E" w:rsidRDefault="00E42E3E" w:rsidP="00E42E3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lastRenderedPageBreak/>
        <w:t>Для предотвращения столкновения автомобилей следует придерживаться заранее оговоренной между водителями </w:t>
      </w:r>
      <w:r w:rsidRPr="00E42E3E">
        <w:rPr>
          <w:rFonts w:ascii="Georgia" w:eastAsia="Times New Roman" w:hAnsi="Georgia" w:cs="Times New Roman"/>
          <w:b/>
          <w:bCs/>
          <w:color w:val="2E2E2E"/>
          <w:sz w:val="32"/>
        </w:rPr>
        <w:t>схемы торможения</w:t>
      </w: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:</w:t>
      </w:r>
    </w:p>
    <w:p w:rsidR="00E42E3E" w:rsidRPr="00E42E3E" w:rsidRDefault="00E42E3E" w:rsidP="00E42E3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Например, сначала буксирующий автомобиль кратковременно нажимает на педаль тормоза, чтобы показать водителю буксируемого автомобиля, что вскоре состоится совместное торможение. После этого оба автомобиля одновременно начинают торможение.</w:t>
      </w:r>
    </w:p>
    <w:p w:rsidR="00E42E3E" w:rsidRPr="00E42E3E" w:rsidRDefault="00E42E3E" w:rsidP="00E42E3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При смене полосы движения первым должен перестроиться буксируемый (задний) автомобиль. Только после него перестраивается буксирующий. В противном случае буксируемому автомобилю может просто не хватить места в соседней полосе.</w:t>
      </w:r>
    </w:p>
    <w:p w:rsidR="00E42E3E" w:rsidRPr="00E42E3E" w:rsidRDefault="00E42E3E" w:rsidP="00E42E3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E42E3E">
        <w:rPr>
          <w:rFonts w:ascii="Georgia" w:eastAsia="Times New Roman" w:hAnsi="Georgia" w:cs="Times New Roman"/>
          <w:color w:val="2E2E2E"/>
          <w:sz w:val="32"/>
          <w:szCs w:val="32"/>
        </w:rPr>
        <w:t>Удачи на дорогах!</w:t>
      </w:r>
    </w:p>
    <w:p w:rsidR="001C32EE" w:rsidRDefault="001C32EE"/>
    <w:sectPr w:rsidR="001C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2BBA"/>
    <w:multiLevelType w:val="multilevel"/>
    <w:tmpl w:val="019E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8A547E"/>
    <w:multiLevelType w:val="multilevel"/>
    <w:tmpl w:val="5470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42E3E"/>
    <w:rsid w:val="001C32EE"/>
    <w:rsid w:val="00450F5D"/>
    <w:rsid w:val="00E4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42E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E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42E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4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2E3E"/>
    <w:rPr>
      <w:color w:val="0000FF"/>
      <w:u w:val="single"/>
    </w:rPr>
  </w:style>
  <w:style w:type="character" w:styleId="a5">
    <w:name w:val="Strong"/>
    <w:basedOn w:val="a0"/>
    <w:uiPriority w:val="22"/>
    <w:qFormat/>
    <w:rsid w:val="00E42E3E"/>
    <w:rPr>
      <w:b/>
      <w:bCs/>
    </w:rPr>
  </w:style>
  <w:style w:type="character" w:styleId="a6">
    <w:name w:val="Emphasis"/>
    <w:basedOn w:val="a0"/>
    <w:uiPriority w:val="20"/>
    <w:qFormat/>
    <w:rsid w:val="00E42E3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4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b:https://pddmaster.ru/0923d9fe-dd2a-4df1-88d0-8fca8f1f7c22" TargetMode="External"/><Relationship Id="rId13" Type="http://schemas.openxmlformats.org/officeDocument/2006/relationships/hyperlink" Target="blob:https://pddmaster.ru/0923d9fe-dd2a-4df1-88d0-8fca8f1f7c22" TargetMode="External"/><Relationship Id="rId18" Type="http://schemas.openxmlformats.org/officeDocument/2006/relationships/hyperlink" Target="https://pddmaster.ru/documentsnews/izmenenia-pdd-s-04-201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ddmaster.ru/pdd/dlya-skuterov.html" TargetMode="External"/><Relationship Id="rId7" Type="http://schemas.openxmlformats.org/officeDocument/2006/relationships/hyperlink" Target="blob:https://pddmaster.ru/0923d9fe-dd2a-4df1-88d0-8fca8f1f7c22" TargetMode="External"/><Relationship Id="rId12" Type="http://schemas.openxmlformats.org/officeDocument/2006/relationships/hyperlink" Target="blob:https://pddmaster.ru/0923d9fe-dd2a-4df1-88d0-8fca8f1f7c22" TargetMode="External"/><Relationship Id="rId17" Type="http://schemas.openxmlformats.org/officeDocument/2006/relationships/hyperlink" Target="https://pddmaster.ru/documentsnews/blizhnij-svet-dnevnye-xodovye-ogni-i-protivotumannye-fary-do-i-posle-20-noyabrya-2010-goda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pddmaster.ru/pdd/pdd-dlya-velosipedisto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ddmaster.ru/pdd/vidi-buksirovki.html" TargetMode="External"/><Relationship Id="rId11" Type="http://schemas.openxmlformats.org/officeDocument/2006/relationships/hyperlink" Target="blob:https://pddmaster.ru/0923d9fe-dd2a-4df1-88d0-8fca8f1f7c22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pddmaster.ru/documents/pdd" TargetMode="External"/><Relationship Id="rId23" Type="http://schemas.openxmlformats.org/officeDocument/2006/relationships/hyperlink" Target="https://pddmaster.ru/documents/koap/statya-12-21-d13" TargetMode="External"/><Relationship Id="rId10" Type="http://schemas.openxmlformats.org/officeDocument/2006/relationships/hyperlink" Target="blob:https://pddmaster.ru/0923d9fe-dd2a-4df1-88d0-8fca8f1f7c22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blob:https://pddmaster.ru/0923d9fe-dd2a-4df1-88d0-8fca8f1f7c22" TargetMode="External"/><Relationship Id="rId14" Type="http://schemas.openxmlformats.org/officeDocument/2006/relationships/hyperlink" Target="blob:https://pddmaster.ru/0923d9fe-dd2a-4df1-88d0-8fca8f1f7c22" TargetMode="External"/><Relationship Id="rId22" Type="http://schemas.openxmlformats.org/officeDocument/2006/relationships/hyperlink" Target="https://pddmaster.ru/pdd/s-pricep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2020-05-25T04:28:00Z</dcterms:created>
  <dcterms:modified xsi:type="dcterms:W3CDTF">2020-05-25T04:51:00Z</dcterms:modified>
</cp:coreProperties>
</file>