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A6" w:rsidRDefault="008D70A6" w:rsidP="008D70A6">
      <w:pPr>
        <w:shd w:val="clear" w:color="auto" w:fill="FEFEFE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B4B4B"/>
          <w:kern w:val="36"/>
          <w:sz w:val="24"/>
          <w:szCs w:val="24"/>
        </w:rPr>
        <w:t>Занятие № 61-62</w:t>
      </w:r>
    </w:p>
    <w:p w:rsidR="008D70A6" w:rsidRPr="008D70A6" w:rsidRDefault="008D70A6" w:rsidP="008D70A6">
      <w:pPr>
        <w:shd w:val="clear" w:color="auto" w:fill="FEFEFE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B4B4B"/>
          <w:kern w:val="36"/>
          <w:sz w:val="24"/>
          <w:szCs w:val="24"/>
        </w:rPr>
        <w:t xml:space="preserve">Тема: </w:t>
      </w:r>
      <w:r w:rsidRPr="008D70A6">
        <w:rPr>
          <w:rFonts w:ascii="Times New Roman" w:eastAsia="Times New Roman" w:hAnsi="Times New Roman" w:cs="Times New Roman"/>
          <w:b/>
          <w:bCs/>
          <w:color w:val="4B4B4B"/>
          <w:kern w:val="36"/>
          <w:sz w:val="24"/>
          <w:szCs w:val="24"/>
        </w:rPr>
        <w:t>ТЕХНОЛОГИЯ ИСПЫТАНИЯ МАШИН ПОСТОЯННОГО ТОКА</w:t>
      </w:r>
    </w:p>
    <w:p w:rsidR="008D70A6" w:rsidRPr="008D70A6" w:rsidRDefault="008D70A6" w:rsidP="008D70A6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2</w:t>
      </w:r>
    </w:p>
    <w:p w:rsidR="008D70A6" w:rsidRPr="008D70A6" w:rsidRDefault="008D70A6" w:rsidP="008D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 Проработать технологию испытания машин постоянного тока.</w:t>
      </w:r>
      <w:r w:rsidRPr="008D70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70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Основной материал:</w:t>
      </w:r>
    </w:p>
    <w:tbl>
      <w:tblPr>
        <w:tblpPr w:leftFromText="36" w:rightFromText="36" w:vertAnchor="text"/>
        <w:tblW w:w="3600" w:type="dxa"/>
        <w:tblCellSpacing w:w="60" w:type="dxa"/>
        <w:shd w:val="clear" w:color="auto" w:fill="FEFEFE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00"/>
      </w:tblGrid>
      <w:tr w:rsidR="008D70A6" w:rsidRPr="008D70A6" w:rsidTr="008D70A6">
        <w:trPr>
          <w:tblCellSpacing w:w="60" w:type="dxa"/>
        </w:trPr>
        <w:tc>
          <w:tcPr>
            <w:tcW w:w="0" w:type="auto"/>
            <w:shd w:val="clear" w:color="auto" w:fill="FEFEFE"/>
            <w:hideMark/>
          </w:tcPr>
          <w:p w:rsidR="008D70A6" w:rsidRPr="008D70A6" w:rsidRDefault="008D70A6" w:rsidP="008D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Машины постоянного тока мощностью до 200 кВт и напряжением до 440</w:t>
      </w:r>
      <w:proofErr w:type="gram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</w:t>
      </w:r>
      <w:proofErr w:type="gram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, вводимые в эксплуатацию после монтажа, проходят приемосдаточные испытания в объеме, предусмотренном ПУЭ.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Измерение сопротивления изоляции обмоток относительно корпуса и бандажей машины, а также между обмотками </w:t>
      </w:r>
      <w:proofErr w:type="gram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осуществляется </w:t>
      </w:r>
      <w:proofErr w:type="spell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мегаомметром</w:t>
      </w:r>
      <w:proofErr w:type="spell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1000 В. При проверке изоляции обмотки по отношению к корпусу один из щупов </w:t>
      </w:r>
      <w:proofErr w:type="spell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мегаомметра</w:t>
      </w:r>
      <w:proofErr w:type="spell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прикладывают</w:t>
      </w:r>
      <w:proofErr w:type="gram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зачищенной металлической поверхности корпуса машины, второй к выводному концу той обмотки, сопротивление изоляции которой измеряют. Если в машине имеется несколько обмоток, то кроме измерения сопротивления изоляции каждой из них по отношению к корпусу проверяют состояние их изоляции между собой. С этой целью все остальные обмотки соединяют с корпусом или по окончании измерения сопротивления изоляции всех обмоток по отношению к корпусу определяют сопротивление изоляции между каждыми двумя обмотками. Согласно ПУЭ оно должно быть не ниже 0,5 МОм между обмотками и каждой обмоткой относительно корпуса при 10—30 °С.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Сопротивление изоляции ниже 0,5 МОм может быть вызвано попаданием в изоляцию влаги, поверхностной влажностью, оседанием токопроводящей пыли на выводах, обмотках, коллекторе. При этом рекомендуется продуть машину сухим сжатым воздухом, очистить выводы обмоток, торец коллектора, изоляционные детали щеткодержателей. Если после, чистки и продувки сопротивление изоляции не повысится, выполняют поверхностную сушку машины и осуществляют контрольное измерение сопротивления изоляции. Необходимо помнить, что показания </w:t>
      </w:r>
      <w:proofErr w:type="spell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мегаомметра</w:t>
      </w:r>
      <w:proofErr w:type="spell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зависят от продолжительности приложения напряжения к проверяемой обмотке. Чем больше время, прошедшее от момента приложения напряжения к изоляции до момента отсчета, тем больше измеренное сопротивление изоляции. С повышением температуры сопротивление изоляции уменьшается.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 измерении сопротивления обмоток постоянному току проверяют состояние их контактных соединений (паек, болтовых, сварных соединений), сопротивления измеряют методом амперметра— </w:t>
      </w:r>
      <w:proofErr w:type="gram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во</w:t>
      </w:r>
      <w:proofErr w:type="gram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льтметра, моста и микроомметра. Необходимо помнить о некоторых особенностях </w:t>
      </w:r>
      <w:proofErr w:type="gram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измерений сопротивлений обмоток машин постоянного тока</w:t>
      </w:r>
      <w:proofErr w:type="gram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-сопротивление последовательной обмотки возбуждения, уравнительной и обмотки добавочных полюсов невелико (тысячные доли </w:t>
      </w:r>
      <w:proofErr w:type="spell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ома</w:t>
      </w:r>
      <w:proofErr w:type="spell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), поэтому его измеряют с помощью микроомметра;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-сопротивление обмотки якоря определяют методом амперметра — вольтметра с использованием специального </w:t>
      </w:r>
      <w:proofErr w:type="spell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двухконтактного</w:t>
      </w:r>
      <w:proofErr w:type="spell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щупа с пружинами с изоляционной рукояткой;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Измерение сопротивления якоря с помощью </w:t>
      </w:r>
      <w:proofErr w:type="spell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двухконтактного</w:t>
      </w:r>
      <w:proofErr w:type="spell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щупа.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Сопротивление постоянному току реостатов и пускорегулировочных резисторов обычно измеряют мостами ММВ, МВУ-49, Р-333 и др. При этом измерения выполняют для всего реостата полностью и на каждом положении ползунка (ответвлении).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Испытание машин постоянного тока высоким напряжением производится при отключенных конденсаторах, так как их испытательное напряжение обычно ниже испытательного напряжения машин.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При испытаниях машин постоянного тока по методу взаимной нагрузки могут быть использованы три способа введения в контур испытуемых машин энергии, необходимой для компенсации потерь: параллельное и последовательное включение источника электрической энергии, а также подключение механического источника энергии.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При испытании машины постоянного тока напряжение повышается на 30% лишь при числе полюсов не более четырех.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Наименьшую опасность представляет испытание машин постоянного тока и асинхронных двигателей с фазовыми роторами, в которых наиболее слабым местом являются проволочные бандажи на лобовых частях обмотки.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Разрыв таких бандажей в закрытых и защищенных машинах представляет аварию, не выходящую из пределов машины; только при машинах совершенно открытого исполнения возможно нанесение повреждений окружающим предметам и персоналу. Вполне достаточным мероприятием по обеспечению безопасности в подобных случаях является удаление из опасной зоны всего того, что может пострадать от разлетающихся обрывков бандажей.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ряде случаев для упрощения схем испытания машин постоянного тока с возвратом энергии в сеть вместо механически связанных двигателя постоянного тока и синхронного генератора используют статический преобразователь постоянного тока в переменный требуемой частоты </w:t>
      </w:r>
      <w:proofErr w:type="gram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 </w:t>
      </w:r>
      <w:proofErr w:type="gram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инвертор), вход которого подключен к генератору ГПТ, а выход - к сети. Регулирование мощности в этом случае осуществляется за счет изменения длительности проводящего состояния преобразователя.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Приемо-сдаточные испытания проходит каждая машина после ремонта или выпуска завода-изготовителя. </w:t>
      </w:r>
      <w:proofErr w:type="gram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Программа приемо-сдаточных испытаний машины постоянного тока включает в себя внешний осмотр машины, измерения сопротивления обмоток, испытания на нагревание в течение 1 ч, проверку частоты вращения и реверсирования при номинальных значениях напряжения, токов нагрузки и возбуждения для электродвигателей, для тяговых генераторов - проверку напряжений, соответствующих продолжительному режиму при низшем и высшем напряжениях, при номинальной частоте вращения, испытания на повышенную частоту вращения, проверку</w:t>
      </w:r>
      <w:proofErr w:type="gram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биения коллектора, коммутации, сопротивления и электрической прочности изоляции.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При использовании этого метода в машине искусственно создается тепловой режим, соответствующий работе в номинальных условиях, что достигается путем чередования режимов холостого хода и короткого замыкания. Этот способ нагрузки может быть рекомендован при проведении испытаний машин постоянного тока и синхронных машин.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Способ самоторможения используется для машин постоянного тока и синхронных машин, имеющих значительный момент инерции ротора. Для определения потерь частоту вращения испытуемой машины доводят до значения, несколько превышающего </w:t>
      </w:r>
      <w:proofErr w:type="gram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номинальное</w:t>
      </w:r>
      <w:proofErr w:type="gram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, после чего источник энергии отключают. При этом в ходе испытаний машин постоянного тока проводят два опыта: самоторможение без возбуждения и самоторможение при холостом ходе и токе возбуждения, которому соответствует номинальное напряжение на выводах разомкнутой обмотки якоря при номинальной частоте вращения.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Испытание изоляции обмотки между смежными витками для работающего на холостом ходу электрического двигателя проводится напряжением, равным 1 3 от номинального, в течение 3 мин. Для гидрогенераторов изоляция обмотки между </w:t>
      </w: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смежными витками должна испытываться напряжением, равным 1 5 от номинального, в течение 5 мин, для турбогенераторов - напряжением, равным 1 3 от номинального, в течение 5 мин. Требуемое значение испытательного напряжения генераторов</w:t>
      </w:r>
      <w:proofErr w:type="gram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достигается увеличением тока возбуждения. При испытаниях машин постоянного тока с числом полюсов более четырех напряжение между смежными коллекторными пластинами не должно превышать 24 В.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Измерение сопротивления изоляции обмоток относительно корпуса машины, а для машин с параллельной и смешанной обмоткой возбуждения и между обмотками производить в практически холодном состоянии в соответствии с </w:t>
      </w:r>
      <w:proofErr w:type="spell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правилой</w:t>
      </w:r>
      <w:proofErr w:type="spell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Величина сопротивления изоляции в мегомах, замеренная мегомметром на 500 В, должна быть не ниже:</w:t>
      </w: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-для машин на напряжение на 100 В - 0,5 Мом;</w:t>
      </w: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-для машин на напряжение свыше 100</w:t>
      </w:r>
      <w:proofErr w:type="gram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</w:t>
      </w:r>
      <w:proofErr w:type="gram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- 1 Мом.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Испытание при повышенной скорости вращения разрешается производить как в режиме двигателя, так и в режиме генератора, при этом превышение скорости должно быть: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а) для электродвигателей с последовательным возбуждением - на 20% сверх </w:t>
      </w:r>
      <w:proofErr w:type="gram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максимальной</w:t>
      </w:r>
      <w:proofErr w:type="gram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, но не менее чем на 50% сверх номинальной;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б) для электродвигателей с регулировкой скорости вращения - на 20% </w:t>
      </w:r>
      <w:proofErr w:type="gram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сверх</w:t>
      </w:r>
      <w:proofErr w:type="gram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максимальной;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в) для всех остальных электрических машин - на 20% выше </w:t>
      </w:r>
      <w:proofErr w:type="gram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номинальной</w:t>
      </w:r>
      <w:proofErr w:type="gram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При испытании скорость вращения плавно повысить до требуемого значения, выдержать в течение 2 мин и плавно снизить.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Номинальные данные машины (указанные на заводском щитке) проверять в течение 1 ч.</w:t>
      </w: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Реверсивные машины вращать по 30 мин в каждую сторону. При этом: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а) генераторы должны развивать номинальную мощность при отклонениях напряжения от номинального на ±5%;</w:t>
      </w:r>
      <w:proofErr w:type="gramEnd"/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б) двигатели должны отдавать номинальную мощность при отклонениях напряжения </w:t>
      </w:r>
      <w:proofErr w:type="gram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от</w:t>
      </w:r>
      <w:proofErr w:type="gram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номинального от -5 до +10%.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Испытания на кратковременную перегрузку по току производить в течение 1 мин с нагрузкой по току, превышающей на 50% номинальную.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ТЕХНИКА БЕЗОПАСНОСТИ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При производстве ремонтных работ без разборки на механической части электродвигателя последний должен быть остановлен, а на ключе управления или приводе выключателя повешен плакат: "Не включать, работают люди".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У работающего двухскоростного электродвигателя не используемая обмотка и питающий ее кабель должны рассматриваться как находящиеся под напряжением.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Уход за щетками, их замену на работающем двигателе допускается производить специально обученным лицам с квалификационной группой не ниже III при соблюдении следующих мер предосторожности: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а) работающие должны остерегаться захвата одежды или обтирочного материала вращающимися частями машины; работа должна производиться в налокотниках, плотно стягивающих руку у запястья или с застегнутыми у запястья рукавами;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б) у возбудителей со стороны коллекторов и у колец ротора должны быть разостланы резиновые диэлектрические маты или работа людей должна производиться в диэлектрических галошах;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в) запрещается касаться руками одновременно токоведущих частей различной полярности или токоведущих частей и заземленных частей машины.</w:t>
      </w: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Должен применяться инструмент с изолированными ручками.</w:t>
      </w: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При работе на двигателе постоянного тока допускается установка заземления на любом участке кабельной линии, соединяющей электродвигателе секцией РУ, щитом, сборкой.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Если работы на двигателе постоянного тока рассчитаны на длительный срок, не выполняются или прерваны на несколько дней, то отсоединенная от него кабельная </w:t>
      </w:r>
      <w:proofErr w:type="gram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линия</w:t>
      </w:r>
      <w:proofErr w:type="gram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должно быть заземлена так же со стороны электродвигателя.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тех </w:t>
      </w:r>
      <w:proofErr w:type="gram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случаях</w:t>
      </w:r>
      <w:proofErr w:type="gram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когда сечение жил кабеля не позволяет применять переносное заземление, у электродвигателей напряжением до 1000В допускается заземлять кабельную линию медным проводником сечение не менее сечения жил кабелей либо соединять между собой жилы кабеля и изолировать их такое заземление или соединение жил кабеля должно учитываться в оперативной документации на равнее с переносным заземлением.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Порядок включения двигателя для опробования должен быть следующим: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1) Производитель работ удаляет бригаду с места работы, оформляет окончание работы и </w:t>
      </w:r>
      <w:proofErr w:type="gram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сдает наряд оперативному персоналу оперативный персонал снимает</w:t>
      </w:r>
      <w:proofErr w:type="gram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установленное заземление, плакаты, выполняет сборку схемы.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2) После опробования при необходимости продолжения работы на</w:t>
      </w: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электродвигателе оперативный персонал вновь подготавливает рабочее место, и бригада по наряду повторно допускается к работе на электродвигателе.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Работа на вращающемся двигателе без соприкосновения с токоведущими и вращающимися частями может </w:t>
      </w:r>
      <w:proofErr w:type="gramStart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проводится</w:t>
      </w:r>
      <w:proofErr w:type="gramEnd"/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 распоряжению.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Обслуживание щеточного аппарата на работающем двигателе допускается выполнять по распоряжению для этой цели работку, имеющему 3-ю группу.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Работать с использованием средств защиты лица и глаз, в застегнутой</w:t>
      </w: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спецодежде остерегаясь захвата ее вращающимися частями электродвигателя. Пользоваться диэлектрическими галошами, ковриками, не касаться руками одновременно токоведущих частей двух полисов или токоведущих и заземляющих частей.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Кольца ротора допускаются шлифовать на вращающемся двигателе лишь с помощью колодок из изоляционного материала.</w:t>
      </w:r>
    </w:p>
    <w:p w:rsidR="008D70A6" w:rsidRPr="008D70A6" w:rsidRDefault="008D70A6" w:rsidP="008D70A6">
      <w:pPr>
        <w:shd w:val="clear" w:color="auto" w:fill="FEFEFE"/>
        <w:spacing w:after="0" w:line="240" w:lineRule="auto"/>
        <w:ind w:left="200" w:right="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70A6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Рабочее место должна быть обеспечена аптечками с медикаментами и средствами для оказания первой помощи пострадавшим. При несчастных случаях необходимо немедленно принять меры по оказанию пострадавшему первой помощи и в случае надобности направить его в ближайший медицинский пункт с сопровождающим или вызвать врача.</w:t>
      </w:r>
    </w:p>
    <w:p w:rsidR="00000000" w:rsidRPr="008D70A6" w:rsidRDefault="008D70A6" w:rsidP="008D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8D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D70A6"/>
    <w:rsid w:val="008D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0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D70A6"/>
    <w:rPr>
      <w:color w:val="0000FF"/>
      <w:u w:val="single"/>
    </w:rPr>
  </w:style>
  <w:style w:type="character" w:customStyle="1" w:styleId="current">
    <w:name w:val="current"/>
    <w:basedOn w:val="a0"/>
    <w:rsid w:val="008D70A6"/>
  </w:style>
  <w:style w:type="paragraph" w:styleId="a4">
    <w:name w:val="Normal (Web)"/>
    <w:basedOn w:val="a"/>
    <w:uiPriority w:val="99"/>
    <w:semiHidden/>
    <w:unhideWhenUsed/>
    <w:rsid w:val="008D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D70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1739</Words>
  <Characters>9914</Characters>
  <Application>Microsoft Office Word</Application>
  <DocSecurity>0</DocSecurity>
  <Lines>82</Lines>
  <Paragraphs>23</Paragraphs>
  <ScaleCrop>false</ScaleCrop>
  <Company/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2020-06-01T13:03:00Z</dcterms:created>
  <dcterms:modified xsi:type="dcterms:W3CDTF">2020-06-01T13:05:00Z</dcterms:modified>
</cp:coreProperties>
</file>