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1" w:rsidRDefault="003028E1" w:rsidP="003028E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6"/>
          <w:szCs w:val="46"/>
        </w:rPr>
      </w:pPr>
      <w:r>
        <w:rPr>
          <w:rFonts w:ascii="Georgia" w:eastAsia="Times New Roman" w:hAnsi="Georgia" w:cs="Times New Roman"/>
          <w:color w:val="2E2E2E"/>
          <w:kern w:val="36"/>
          <w:sz w:val="46"/>
          <w:szCs w:val="46"/>
        </w:rPr>
        <w:t>Задание: изучить, законспектировать и отправить на проверку.</w:t>
      </w:r>
    </w:p>
    <w:p w:rsidR="003028E1" w:rsidRPr="003028E1" w:rsidRDefault="003028E1" w:rsidP="003028E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6"/>
          <w:szCs w:val="46"/>
        </w:rPr>
      </w:pPr>
      <w:r w:rsidRPr="003028E1">
        <w:rPr>
          <w:rFonts w:ascii="Georgia" w:eastAsia="Times New Roman" w:hAnsi="Georgia" w:cs="Times New Roman"/>
          <w:color w:val="2E2E2E"/>
          <w:kern w:val="36"/>
          <w:sz w:val="46"/>
          <w:szCs w:val="46"/>
        </w:rPr>
        <w:t>Устройство пускового двигателя ПД-23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Основой пускового двигателя служит </w:t>
      </w: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блок</w:t>
      </w:r>
      <w:r w:rsidRPr="003028E1">
        <w:rPr>
          <w:rFonts w:ascii="Georgia" w:eastAsia="Times New Roman" w:hAnsi="Georgia" w:cs="Times New Roman"/>
          <w:color w:val="2E2E2E"/>
          <w:sz w:val="31"/>
        </w:rPr>
        <w:t xml:space="preserve">, имеющий два вертикальных отверстия под поршни.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По диаметру этих отверстий (цилиндров) блоки делятся на группы (А, Б, В, Г), обозначения которых выбивают на верхней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привалочной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 и боковой плоскостях блока.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Головка блока имеет литые камеры сгорания, отверстия для запальных свечей, водяную рубашку. Коленчатый вал вращается в двух шарикоподшипниках. Для исключения перетекания масла из картера в корпус муфты сцепления на заднем конце коленчатого вала (между подшипником и маховиком) установлен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резинокаркасный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сальник. Маховик установлен на коническом хвостовике коленчатого вала и имеет зубчатый венец для соединения с шестерней стартера и внутренние шлицы для соединения с ведущим диском муфты сцепления. Поршни имеют по три компрессионных и по одному маслосъемному кольцу. Размерная группа поршня, выбитая на днище, должна соответствовать размерной группе блока, в который он установлен.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Механизм газораспределения </w:t>
      </w:r>
      <w:r w:rsidRPr="003028E1">
        <w:rPr>
          <w:rFonts w:ascii="Georgia" w:eastAsia="Times New Roman" w:hAnsi="Georgia" w:cs="Times New Roman"/>
          <w:color w:val="2E2E2E"/>
          <w:sz w:val="31"/>
        </w:rPr>
        <w:t>состоит из шестерни привода, распределительного вала, толкателей с регулировочными болтами, впускных и выпускных клапанов с направляющими втулками, пружинами и сухариками.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Система охлаждения </w:t>
      </w:r>
      <w:r w:rsidRPr="003028E1">
        <w:rPr>
          <w:rFonts w:ascii="Georgia" w:eastAsia="Times New Roman" w:hAnsi="Georgia" w:cs="Times New Roman"/>
          <w:color w:val="2E2E2E"/>
          <w:sz w:val="31"/>
        </w:rPr>
        <w:t>общая с дизелем, термосифонная.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Смазка</w:t>
      </w:r>
      <w:r w:rsidRPr="003028E1">
        <w:rPr>
          <w:rFonts w:ascii="Georgia" w:eastAsia="Times New Roman" w:hAnsi="Georgia" w:cs="Times New Roman"/>
          <w:color w:val="2E2E2E"/>
          <w:sz w:val="31"/>
        </w:rPr>
        <w:t> деталей пускового двигателя осуществляется масляным туманом, образующимся при вращении коленчатого вала в масляной ванне картера. Масло в картер заливают через отверстие в кожухе распределительных шестерен, закрываемое сапуном.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 xml:space="preserve">Для обеспечения питания двигателя воздухом и топливом установлены воздухоочиститель, топливный бачок с краном-отстойником, регулятор, карбюратор. Центробежный регулятор </w:t>
      </w:r>
      <w:r w:rsidRPr="003028E1">
        <w:rPr>
          <w:rFonts w:ascii="Georgia" w:eastAsia="Times New Roman" w:hAnsi="Georgia" w:cs="Times New Roman"/>
          <w:color w:val="2E2E2E"/>
          <w:sz w:val="31"/>
        </w:rPr>
        <w:lastRenderedPageBreak/>
        <w:t xml:space="preserve">связан с дроссельной заслонкой карбюратора и, автоматически, в зависимости от нагрузки, регулирует количество горючей смеси, поступающей в цилиндры, сохраняя тем самым заданную частоту вращения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коленвала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>, и ограничивает максимальную частоту вращения холостого хода.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Карбюратор  </w:t>
      </w:r>
      <w:r w:rsidRPr="003028E1">
        <w:rPr>
          <w:rFonts w:ascii="Georgia" w:eastAsia="Times New Roman" w:hAnsi="Georgia" w:cs="Times New Roman"/>
          <w:color w:val="2E2E2E"/>
          <w:sz w:val="31"/>
        </w:rPr>
        <w:t>К125Л (рис. 2):  главная дозирующая система работает по принципу пневматического торможения топлива.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Редуктор двухступенчатый </w:t>
      </w:r>
      <w:r w:rsidRPr="003028E1">
        <w:rPr>
          <w:rFonts w:ascii="Georgia" w:eastAsia="Times New Roman" w:hAnsi="Georgia" w:cs="Times New Roman"/>
          <w:color w:val="2E2E2E"/>
          <w:sz w:val="31"/>
        </w:rPr>
        <w:t xml:space="preserve">с прямой и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замедленной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передачами. Замедленная передача служит для предварительной прокрутки дизеля в холодное время года. Редуктор имеет механизм включения с шестерней, вводимой в зацепление с венцом маховика дизеля при его пуске.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При пуске дизеля крутящий момент пускового двигателя через муфту сцепления, двухступенчатый редуктор, шестерню механизма включения и маховик дизеля передается на коленчатый вал.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>
        <w:rPr>
          <w:rFonts w:ascii="Georgia" w:eastAsia="Times New Roman" w:hAnsi="Georgia" w:cs="Times New Roman"/>
          <w:noProof/>
          <w:color w:val="2E2E2E"/>
          <w:sz w:val="31"/>
          <w:szCs w:val="31"/>
        </w:rPr>
        <w:drawing>
          <wp:inline distT="0" distB="0" distL="0" distR="0">
            <wp:extent cx="5029200" cy="3745230"/>
            <wp:effectExtent l="19050" t="0" r="0" b="0"/>
            <wp:docPr id="1" name="Рисунок 1" descr="http://invers74.ru/images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rs74.ru/images/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>
        <w:rPr>
          <w:rFonts w:ascii="Georgia" w:eastAsia="Times New Roman" w:hAnsi="Georgia" w:cs="Times New Roman"/>
          <w:noProof/>
          <w:color w:val="2E2E2E"/>
          <w:sz w:val="31"/>
          <w:szCs w:val="31"/>
        </w:rPr>
        <w:lastRenderedPageBreak/>
        <w:drawing>
          <wp:inline distT="0" distB="0" distL="0" distR="0">
            <wp:extent cx="3599180" cy="6040755"/>
            <wp:effectExtent l="19050" t="0" r="1270" b="0"/>
            <wp:docPr id="2" name="Рисунок 2" descr="http://invers74.ru/images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rs74.ru/images/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604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1" w:rsidRPr="003028E1" w:rsidRDefault="003028E1" w:rsidP="003028E1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028E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Электрооборудование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На дизеле установлены генератор мощностью 1000 Вт и напряжением 28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В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>, датчики давления масла, температуры охлаждающей жидкости, сигнализаторов засоренности воздухоочистителя и масляного фильтра.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Генератор</w:t>
      </w:r>
      <w:r w:rsidRPr="003028E1">
        <w:rPr>
          <w:rFonts w:ascii="Georgia" w:eastAsia="Times New Roman" w:hAnsi="Georgia" w:cs="Times New Roman"/>
          <w:color w:val="2E2E2E"/>
          <w:sz w:val="31"/>
        </w:rPr>
        <w:t xml:space="preserve"> –  бесконтактная пятифазная электрическая машина с односторонним электромагнитным возбуждением,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встроенными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полупроводниковым выпрямителем и регулятором напряжения. Привод ременный от шкива вентилятора. На задней крышке генератора имеются выводы (клеммы):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lastRenderedPageBreak/>
        <w:t>«+» - для подключения аккумуляторных батарей и нагрузки;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«Д» - для подсоединения реле блокировки генератора при пуске дизеля стартером и счетчика времени наработки.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Для обеспечения нормального заряда аккумуляторных батарей при эксплуатации в разное время года на задней крышке также находится переключатель посезонной регулировки регулятора напряжения.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Регулятор напряжения, встроенный в генератор, предназначен для автоматического поддержания напряжения генератора в заданных пределах независимо от частоты вращения якоря генератора.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 xml:space="preserve">На дизеле с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электростартерной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системой пуска применены: стартер 251.3708, контактное устройство (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см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>. 3). Дизели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Д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180.100-6 и Д 180.120-6 дополнительно комплектуют розеткой подключения внешнего источника тока ПС 315-100.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Стартер</w:t>
      </w:r>
      <w:r w:rsidRPr="003028E1">
        <w:rPr>
          <w:rFonts w:ascii="Georgia" w:eastAsia="Times New Roman" w:hAnsi="Georgia" w:cs="Times New Roman"/>
          <w:color w:val="2E2E2E"/>
          <w:sz w:val="31"/>
        </w:rPr>
        <w:t> представляет собой электродвигатель постоянного тока с принудительным электромеханическим вводом его шестерни в зацепление с маховиком и самовыключением шестерни после пуска дизеля. Для ввода шестерни в зацепление с венцом маховика и включения цепи питания стартера служит электромагнитное тяговое реле, а для автоматического выключения шестерни (после пуска) применен привод с муфтой свободного хода. Стартер прикреплен к кожуху маховика фланцем и четырьмя болтами и дополнительно к блоку дизеля –  поддерживающим кронштейном (рис. 3).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>
        <w:rPr>
          <w:rFonts w:ascii="Georgia" w:eastAsia="Times New Roman" w:hAnsi="Georgia" w:cs="Times New Roman"/>
          <w:noProof/>
          <w:color w:val="2E2E2E"/>
          <w:sz w:val="31"/>
          <w:szCs w:val="31"/>
        </w:rPr>
        <w:lastRenderedPageBreak/>
        <w:drawing>
          <wp:inline distT="0" distB="0" distL="0" distR="0">
            <wp:extent cx="4815205" cy="3531235"/>
            <wp:effectExtent l="19050" t="0" r="4445" b="0"/>
            <wp:docPr id="3" name="Рисунок 3" descr="http://invers74.ru/images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vers74.ru/images/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 xml:space="preserve">При установке стартера на дизель следует выдерживать расстояние между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привалочной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плоскостью фланца 1 стартера и торцом зубчатого венца маховика (обращенным к стартеру), которое должно быть не менее 36 мм и регулируемое прокладками 2 и 4. Управление стартером дистанционное.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Розетка ПС 315-100</w:t>
      </w:r>
      <w:r w:rsidRPr="003028E1">
        <w:rPr>
          <w:rFonts w:ascii="Georgia" w:eastAsia="Times New Roman" w:hAnsi="Georgia" w:cs="Times New Roman"/>
          <w:color w:val="2E2E2E"/>
          <w:sz w:val="31"/>
        </w:rPr>
        <w:t>рассчитана на подключение внешнего источника тока силой 600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А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и напряжением 24 В.</w:t>
      </w:r>
    </w:p>
    <w:p w:rsidR="003028E1" w:rsidRPr="003028E1" w:rsidRDefault="003028E1" w:rsidP="003028E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Электрооборудование пускового двигателя.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 </w:t>
      </w: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Стартер </w:t>
      </w:r>
      <w:r w:rsidRPr="003028E1">
        <w:rPr>
          <w:rFonts w:ascii="Georgia" w:eastAsia="Times New Roman" w:hAnsi="Georgia" w:cs="Times New Roman"/>
          <w:color w:val="2E2E2E"/>
          <w:sz w:val="31"/>
        </w:rPr>
        <w:t>42.3708 представляет собой электродвигатель постоянного тока (12 В), с принудительным электромеханическим вводом шестерни привода в зацепление с зубчатым венцом маховика пускового двигателя. Управление стартером дистанционное.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Магнето </w:t>
      </w:r>
      <w:r w:rsidRPr="003028E1">
        <w:rPr>
          <w:rFonts w:ascii="Georgia" w:eastAsia="Times New Roman" w:hAnsi="Georgia" w:cs="Times New Roman"/>
          <w:color w:val="2E2E2E"/>
          <w:sz w:val="31"/>
        </w:rPr>
        <w:t xml:space="preserve">левого вращения </w:t>
      </w:r>
      <w:proofErr w:type="spellStart"/>
      <w:r w:rsidRPr="003028E1">
        <w:rPr>
          <w:rFonts w:ascii="Georgia" w:eastAsia="Times New Roman" w:hAnsi="Georgia" w:cs="Times New Roman"/>
          <w:color w:val="2E2E2E"/>
          <w:sz w:val="31"/>
        </w:rPr>
        <w:t>двухискровое</w:t>
      </w:r>
      <w:proofErr w:type="spell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с пусковым ускорителем, трехвыводное. К двум выводам подключают свечи зажигания. К третьему дополнительному выводу можно подключить свечу предпускового подогревателя воздуха. Магнето имеет клемму для дистанционного выключения зажигания.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b/>
          <w:bCs/>
          <w:color w:val="2E2E2E"/>
          <w:sz w:val="31"/>
        </w:rPr>
        <w:t>Свечи зажигания </w:t>
      </w:r>
      <w:r w:rsidRPr="003028E1">
        <w:rPr>
          <w:rFonts w:ascii="Georgia" w:eastAsia="Times New Roman" w:hAnsi="Georgia" w:cs="Times New Roman"/>
          <w:color w:val="2E2E2E"/>
          <w:sz w:val="31"/>
        </w:rPr>
        <w:t xml:space="preserve">искровые неразборные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с керамической изоляцией предназначены для зажигания рабочей смеси в </w:t>
      </w:r>
      <w:r w:rsidRPr="003028E1">
        <w:rPr>
          <w:rFonts w:ascii="Georgia" w:eastAsia="Times New Roman" w:hAnsi="Georgia" w:cs="Times New Roman"/>
          <w:color w:val="2E2E2E"/>
          <w:sz w:val="31"/>
        </w:rPr>
        <w:lastRenderedPageBreak/>
        <w:t>цилиндрах пускового двигателя с помощью искрового разряда между электродами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свечи.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Контрольные приборы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 xml:space="preserve">Для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контроля за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работой дизеля необходимо применять следующие контрольные приборы: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  приемники указателя давления 331.3810 сдатчиком 3902.3829 для измерения давления масла в системе смазки дизеля;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  приемник указателя температуры 36.3807 с датчиком ТМ100-В для измерения температуры охлаждающей жидкости;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-датчики сигнализаторов засоренности воздухоочистителя и масляного фильтра;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-датчик аварийного давления масла перед турбокомпрессором 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ММ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111-В;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 xml:space="preserve">-фонари контрольных ламп 123.3803010 к датчикам сигнализаторов засоренности воздухоочистителя и масляного 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>фильтра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а также аварийного давления масла перед</w:t>
      </w:r>
      <w:r>
        <w:rPr>
          <w:rFonts w:ascii="Georgia" w:eastAsia="Times New Roman" w:hAnsi="Georgia" w:cs="Times New Roman"/>
          <w:color w:val="2E2E2E"/>
          <w:sz w:val="31"/>
        </w:rPr>
        <w:t xml:space="preserve"> </w:t>
      </w:r>
      <w:r w:rsidRPr="003028E1">
        <w:rPr>
          <w:rFonts w:ascii="Georgia" w:eastAsia="Times New Roman" w:hAnsi="Georgia" w:cs="Times New Roman"/>
          <w:color w:val="2E2E2E"/>
          <w:sz w:val="31"/>
        </w:rPr>
        <w:t>ТКР;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  счетчик времени наработки СВН-2-02</w:t>
      </w:r>
      <w:proofErr w:type="gramStart"/>
      <w:r w:rsidRPr="003028E1">
        <w:rPr>
          <w:rFonts w:ascii="Georgia" w:eastAsia="Times New Roman" w:hAnsi="Georgia" w:cs="Times New Roman"/>
          <w:color w:val="2E2E2E"/>
          <w:sz w:val="31"/>
        </w:rPr>
        <w:t xml:space="preserve"> Ж</w:t>
      </w:r>
      <w:proofErr w:type="gramEnd"/>
      <w:r w:rsidRPr="003028E1">
        <w:rPr>
          <w:rFonts w:ascii="Georgia" w:eastAsia="Times New Roman" w:hAnsi="Georgia" w:cs="Times New Roman"/>
          <w:color w:val="2E2E2E"/>
          <w:sz w:val="31"/>
        </w:rPr>
        <w:t>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  указатель напряжения 11.3812;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-  выключатель магнето - при установке пускового двигателя;</w:t>
      </w:r>
    </w:p>
    <w:p w:rsidR="003028E1" w:rsidRPr="003028E1" w:rsidRDefault="003028E1" w:rsidP="003028E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3028E1">
        <w:rPr>
          <w:rFonts w:ascii="Georgia" w:eastAsia="Times New Roman" w:hAnsi="Georgia" w:cs="Times New Roman"/>
          <w:color w:val="2E2E2E"/>
          <w:sz w:val="31"/>
        </w:rPr>
        <w:t>кнопка включения и сигнальная лампа - при установке ЭФУ.</w:t>
      </w:r>
    </w:p>
    <w:p w:rsidR="00D75D04" w:rsidRDefault="00D75D04"/>
    <w:sectPr w:rsidR="00D7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28E1"/>
    <w:rsid w:val="003028E1"/>
    <w:rsid w:val="00D7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rsid w:val="0030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3028E1"/>
  </w:style>
  <w:style w:type="character" w:customStyle="1" w:styleId="fontstyle25">
    <w:name w:val="fontstyle25"/>
    <w:basedOn w:val="a0"/>
    <w:rsid w:val="003028E1"/>
  </w:style>
  <w:style w:type="character" w:styleId="a3">
    <w:name w:val="Strong"/>
    <w:basedOn w:val="a0"/>
    <w:uiPriority w:val="22"/>
    <w:qFormat/>
    <w:rsid w:val="003028E1"/>
    <w:rPr>
      <w:b/>
      <w:bCs/>
    </w:rPr>
  </w:style>
  <w:style w:type="paragraph" w:styleId="a4">
    <w:name w:val="Normal (Web)"/>
    <w:basedOn w:val="a"/>
    <w:uiPriority w:val="99"/>
    <w:semiHidden/>
    <w:unhideWhenUsed/>
    <w:rsid w:val="0030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3028E1"/>
  </w:style>
  <w:style w:type="paragraph" w:customStyle="1" w:styleId="style12">
    <w:name w:val="style12"/>
    <w:basedOn w:val="a"/>
    <w:rsid w:val="0030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2020-05-19T03:45:00Z</dcterms:created>
  <dcterms:modified xsi:type="dcterms:W3CDTF">2020-05-19T03:54:00Z</dcterms:modified>
</cp:coreProperties>
</file>