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654614" w:rsidRDefault="00654614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614">
        <w:rPr>
          <w:rFonts w:ascii="Times New Roman" w:hAnsi="Times New Roman" w:cs="Times New Roman"/>
          <w:b/>
          <w:sz w:val="32"/>
          <w:szCs w:val="32"/>
        </w:rPr>
        <w:t>ОП.04 Основы материаловедения</w:t>
      </w:r>
    </w:p>
    <w:p w:rsidR="002202A7" w:rsidRDefault="00F5611E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1101B">
        <w:rPr>
          <w:rFonts w:ascii="Times New Roman" w:hAnsi="Times New Roman" w:cs="Times New Roman"/>
          <w:b/>
          <w:sz w:val="32"/>
          <w:szCs w:val="32"/>
        </w:rPr>
        <w:t>Власова Наталья Александровна</w:t>
      </w:r>
    </w:p>
    <w:p w:rsidR="00F5611E" w:rsidRDefault="00F5611E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026291">
        <w:rPr>
          <w:rFonts w:ascii="Times New Roman" w:hAnsi="Times New Roman" w:cs="Times New Roman"/>
          <w:b/>
          <w:sz w:val="28"/>
          <w:szCs w:val="28"/>
          <w:u w:val="single"/>
        </w:rPr>
        <w:t>– 2 часа</w:t>
      </w:r>
    </w:p>
    <w:p w:rsidR="00F5611E" w:rsidRPr="00F5611E" w:rsidRDefault="00F5611E" w:rsidP="00BC2E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654614">
        <w:rPr>
          <w:rFonts w:ascii="Times New Roman" w:hAnsi="Times New Roman" w:cs="Times New Roman"/>
          <w:sz w:val="28"/>
          <w:szCs w:val="28"/>
        </w:rPr>
        <w:t xml:space="preserve">Практическая работа №1 </w:t>
      </w:r>
      <w:r w:rsidR="00654614" w:rsidRPr="00654614">
        <w:rPr>
          <w:rFonts w:ascii="Times New Roman" w:hAnsi="Times New Roman" w:cs="Times New Roman"/>
          <w:sz w:val="28"/>
          <w:szCs w:val="28"/>
        </w:rPr>
        <w:t>Определение механических сво</w:t>
      </w:r>
      <w:r w:rsidR="00654614">
        <w:rPr>
          <w:rFonts w:ascii="Times New Roman" w:hAnsi="Times New Roman" w:cs="Times New Roman"/>
          <w:sz w:val="28"/>
          <w:szCs w:val="28"/>
        </w:rPr>
        <w:t>йств чугунов и сталей по маркам</w:t>
      </w:r>
    </w:p>
    <w:p w:rsidR="0061101B" w:rsidRDefault="0061101B" w:rsidP="0061101B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F5611E" w:rsidRPr="005359AB">
        <w:rPr>
          <w:rFonts w:ascii="Times New Roman" w:hAnsi="Times New Roman" w:cs="Times New Roman"/>
          <w:sz w:val="28"/>
          <w:szCs w:val="28"/>
        </w:rPr>
        <w:t>О</w:t>
      </w:r>
      <w:r w:rsidR="00F5611E">
        <w:rPr>
          <w:rFonts w:ascii="Times New Roman" w:hAnsi="Times New Roman" w:cs="Times New Roman"/>
          <w:sz w:val="28"/>
          <w:szCs w:val="28"/>
        </w:rPr>
        <w:t xml:space="preserve">формить практическую работу № 1. </w:t>
      </w:r>
      <w:r w:rsidR="00654614">
        <w:rPr>
          <w:rFonts w:ascii="Times New Roman" w:hAnsi="Times New Roman" w:cs="Times New Roman"/>
          <w:sz w:val="28"/>
          <w:szCs w:val="28"/>
        </w:rPr>
        <w:t>Сдать до 21</w:t>
      </w:r>
      <w:r w:rsidR="00F5611E">
        <w:rPr>
          <w:rFonts w:ascii="Times New Roman" w:hAnsi="Times New Roman" w:cs="Times New Roman"/>
          <w:sz w:val="28"/>
          <w:szCs w:val="28"/>
        </w:rPr>
        <w:t>.11</w:t>
      </w:r>
      <w:r w:rsidR="00F5611E" w:rsidRPr="005359AB">
        <w:rPr>
          <w:rFonts w:ascii="Times New Roman" w:hAnsi="Times New Roman" w:cs="Times New Roman"/>
          <w:sz w:val="28"/>
          <w:szCs w:val="28"/>
        </w:rPr>
        <w:t xml:space="preserve">.2020 в электронном виде либо фото в </w:t>
      </w:r>
      <w:r w:rsidR="00F5611E" w:rsidRPr="005359A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F5611E" w:rsidRPr="005359AB"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5" w:history="1">
        <w:r w:rsidR="00F5611E" w:rsidRPr="005359A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https://vk.com/id308588669</w:t>
        </w:r>
      </w:hyperlink>
    </w:p>
    <w:p w:rsidR="00227A37" w:rsidRDefault="00227A37" w:rsidP="00654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забываем писать ФИО и группу на своих заданиях!</w:t>
      </w:r>
    </w:p>
    <w:p w:rsidR="00654614" w:rsidRPr="00373828" w:rsidRDefault="00654614" w:rsidP="00654614">
      <w:pPr>
        <w:pStyle w:val="ab"/>
        <w:rPr>
          <w:rFonts w:ascii="Times New Roman" w:hAnsi="Times New Roman"/>
          <w:b/>
          <w:sz w:val="24"/>
          <w:szCs w:val="24"/>
        </w:rPr>
      </w:pPr>
      <w:r w:rsidRPr="0092427E">
        <w:rPr>
          <w:rFonts w:ascii="Times New Roman" w:hAnsi="Times New Roman"/>
          <w:b/>
          <w:bCs/>
          <w:sz w:val="24"/>
          <w:szCs w:val="24"/>
        </w:rPr>
        <w:t>Тема:</w:t>
      </w:r>
      <w:r w:rsidRPr="00373828">
        <w:rPr>
          <w:rFonts w:ascii="Times New Roman" w:hAnsi="Times New Roman"/>
          <w:sz w:val="24"/>
          <w:szCs w:val="24"/>
        </w:rPr>
        <w:t xml:space="preserve"> </w:t>
      </w:r>
      <w:r w:rsidRPr="00A54347">
        <w:rPr>
          <w:rFonts w:ascii="Times New Roman" w:hAnsi="Times New Roman"/>
          <w:sz w:val="24"/>
          <w:szCs w:val="24"/>
        </w:rPr>
        <w:t>Определение методов исследования металлов.</w:t>
      </w:r>
    </w:p>
    <w:p w:rsidR="00654614" w:rsidRPr="0092427E" w:rsidRDefault="00654614" w:rsidP="00654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Pr="0071423B">
        <w:rPr>
          <w:rFonts w:ascii="Times New Roman" w:hAnsi="Times New Roman"/>
          <w:sz w:val="24"/>
          <w:szCs w:val="24"/>
        </w:rPr>
        <w:t xml:space="preserve">научиться </w:t>
      </w:r>
      <w:r>
        <w:rPr>
          <w:rFonts w:ascii="Times New Roman" w:hAnsi="Times New Roman"/>
          <w:sz w:val="24"/>
          <w:szCs w:val="24"/>
        </w:rPr>
        <w:t>использовать методы исследования метал</w:t>
      </w:r>
      <w:r w:rsidRPr="0071423B">
        <w:rPr>
          <w:rFonts w:ascii="Times New Roman" w:hAnsi="Times New Roman"/>
          <w:sz w:val="24"/>
          <w:szCs w:val="24"/>
        </w:rPr>
        <w:t>лов</w:t>
      </w:r>
    </w:p>
    <w:p w:rsidR="00654614" w:rsidRPr="0092427E" w:rsidRDefault="00654614" w:rsidP="006546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92427E">
        <w:rPr>
          <w:rFonts w:ascii="Times New Roman" w:hAnsi="Times New Roman" w:cs="Times New Roman"/>
          <w:sz w:val="24"/>
          <w:szCs w:val="24"/>
        </w:rPr>
        <w:t>конспекты рабочей тетради</w:t>
      </w:r>
    </w:p>
    <w:p w:rsidR="00654614" w:rsidRPr="0092427E" w:rsidRDefault="00654614" w:rsidP="006546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1. Порядок выполнения практической работы:</w:t>
      </w:r>
    </w:p>
    <w:p w:rsidR="00654614" w:rsidRPr="0092427E" w:rsidRDefault="00654614" w:rsidP="006546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654614" w:rsidRPr="0092427E" w:rsidRDefault="00654614" w:rsidP="006546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2. Заполнить таблицу</w:t>
      </w:r>
    </w:p>
    <w:p w:rsidR="00654614" w:rsidRPr="00373828" w:rsidRDefault="00654614" w:rsidP="0065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3. Ответить на контрольные</w:t>
      </w:r>
      <w:r w:rsidRPr="00A84108">
        <w:rPr>
          <w:rFonts w:ascii="Times New Roman" w:hAnsi="Times New Roman" w:cs="Times New Roman"/>
          <w:sz w:val="24"/>
          <w:szCs w:val="24"/>
        </w:rPr>
        <w:t xml:space="preserve"> </w:t>
      </w:r>
      <w:r w:rsidRPr="0092427E">
        <w:rPr>
          <w:rFonts w:ascii="Times New Roman" w:hAnsi="Times New Roman" w:cs="Times New Roman"/>
          <w:sz w:val="24"/>
          <w:szCs w:val="24"/>
        </w:rPr>
        <w:t>вопросы.</w:t>
      </w:r>
    </w:p>
    <w:p w:rsidR="00654614" w:rsidRDefault="00654614" w:rsidP="00654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2.Краткие теоретические сведения</w:t>
      </w:r>
    </w:p>
    <w:p w:rsidR="00654614" w:rsidRDefault="00654614" w:rsidP="006546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828">
        <w:rPr>
          <w:rStyle w:val="a4"/>
          <w:color w:val="000000"/>
        </w:rPr>
        <w:t>Твердость</w:t>
      </w:r>
      <w:r w:rsidRPr="00373828">
        <w:rPr>
          <w:rStyle w:val="apple-converted-space"/>
          <w:color w:val="000000"/>
        </w:rPr>
        <w:t> </w:t>
      </w:r>
      <w:r w:rsidRPr="00373828">
        <w:rPr>
          <w:color w:val="000000"/>
        </w:rPr>
        <w:t xml:space="preserve">- это сопротивление материала проникновению в него другого более твердого тела. </w:t>
      </w:r>
    </w:p>
    <w:p w:rsidR="00654614" w:rsidRPr="00373828" w:rsidRDefault="00654614" w:rsidP="006546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3828">
        <w:rPr>
          <w:color w:val="000000"/>
        </w:rPr>
        <w:t>При испытании на твердость в поверхность материалов вдавливают</w:t>
      </w:r>
      <w:r w:rsidRPr="00373828">
        <w:rPr>
          <w:color w:val="000000"/>
        </w:rPr>
        <w:br/>
        <w:t>пирамиду, конус или шарик (</w:t>
      </w:r>
      <w:proofErr w:type="spellStart"/>
      <w:r w:rsidRPr="00373828">
        <w:rPr>
          <w:color w:val="000000"/>
        </w:rPr>
        <w:t>индентор</w:t>
      </w:r>
      <w:proofErr w:type="spellEnd"/>
      <w:r w:rsidRPr="00373828">
        <w:rPr>
          <w:color w:val="000000"/>
        </w:rPr>
        <w:t xml:space="preserve">), в связи с чем различают методы </w:t>
      </w:r>
      <w:proofErr w:type="spellStart"/>
      <w:r w:rsidRPr="00373828">
        <w:rPr>
          <w:color w:val="000000"/>
        </w:rPr>
        <w:t>и</w:t>
      </w:r>
      <w:proofErr w:type="gramStart"/>
      <w:r w:rsidRPr="00373828">
        <w:rPr>
          <w:color w:val="000000"/>
        </w:rPr>
        <w:t>с</w:t>
      </w:r>
      <w:proofErr w:type="spellEnd"/>
      <w:r w:rsidRPr="00373828">
        <w:rPr>
          <w:color w:val="000000"/>
        </w:rPr>
        <w:t>-</w:t>
      </w:r>
      <w:proofErr w:type="gramEnd"/>
      <w:r w:rsidRPr="00373828">
        <w:rPr>
          <w:color w:val="000000"/>
        </w:rPr>
        <w:br/>
      </w:r>
      <w:proofErr w:type="spellStart"/>
      <w:r w:rsidRPr="00373828">
        <w:rPr>
          <w:color w:val="000000"/>
        </w:rPr>
        <w:t>пытаний</w:t>
      </w:r>
      <w:proofErr w:type="spellEnd"/>
      <w:r w:rsidRPr="00373828">
        <w:rPr>
          <w:color w:val="000000"/>
        </w:rPr>
        <w:t xml:space="preserve">, соответственно, по </w:t>
      </w:r>
      <w:proofErr w:type="spellStart"/>
      <w:r w:rsidRPr="00373828">
        <w:rPr>
          <w:color w:val="000000"/>
        </w:rPr>
        <w:t>Виккерсу</w:t>
      </w:r>
      <w:proofErr w:type="spellEnd"/>
      <w:r w:rsidRPr="00373828">
        <w:rPr>
          <w:color w:val="000000"/>
        </w:rPr>
        <w:t xml:space="preserve">, </w:t>
      </w:r>
      <w:proofErr w:type="spellStart"/>
      <w:r w:rsidRPr="00373828">
        <w:rPr>
          <w:color w:val="000000"/>
        </w:rPr>
        <w:t>Роквеллу</w:t>
      </w:r>
      <w:proofErr w:type="spellEnd"/>
      <w:r w:rsidRPr="00373828">
        <w:rPr>
          <w:color w:val="000000"/>
        </w:rPr>
        <w:t xml:space="preserve"> и Бринеллю. Кроме того,</w:t>
      </w:r>
      <w:r w:rsidRPr="00373828">
        <w:rPr>
          <w:color w:val="000000"/>
        </w:rPr>
        <w:br/>
        <w:t>существуют менее распространенные методы испытания твердости: метод</w:t>
      </w:r>
      <w:r w:rsidRPr="00373828">
        <w:rPr>
          <w:color w:val="000000"/>
        </w:rPr>
        <w:br/>
        <w:t xml:space="preserve">упругого отскока (по </w:t>
      </w:r>
      <w:proofErr w:type="spellStart"/>
      <w:r w:rsidRPr="00373828">
        <w:rPr>
          <w:color w:val="000000"/>
        </w:rPr>
        <w:t>Шору</w:t>
      </w:r>
      <w:proofErr w:type="spellEnd"/>
      <w:r w:rsidRPr="00373828">
        <w:rPr>
          <w:color w:val="000000"/>
        </w:rPr>
        <w:t>), метод сравнительной твердости (</w:t>
      </w:r>
      <w:proofErr w:type="spellStart"/>
      <w:r w:rsidRPr="00373828">
        <w:rPr>
          <w:color w:val="000000"/>
        </w:rPr>
        <w:t>Польди</w:t>
      </w:r>
      <w:proofErr w:type="spellEnd"/>
      <w:r w:rsidRPr="00373828">
        <w:rPr>
          <w:color w:val="000000"/>
        </w:rPr>
        <w:t>) и н</w:t>
      </w:r>
      <w:proofErr w:type="gramStart"/>
      <w:r w:rsidRPr="00373828">
        <w:rPr>
          <w:color w:val="000000"/>
        </w:rPr>
        <w:t>е-</w:t>
      </w:r>
      <w:proofErr w:type="gramEnd"/>
      <w:r w:rsidRPr="00373828">
        <w:rPr>
          <w:color w:val="000000"/>
        </w:rPr>
        <w:br/>
        <w:t>которые другие.</w:t>
      </w:r>
    </w:p>
    <w:p w:rsidR="00654614" w:rsidRPr="00373828" w:rsidRDefault="00654614" w:rsidP="00654614">
      <w:pPr>
        <w:pStyle w:val="6"/>
        <w:shd w:val="clear" w:color="auto" w:fill="auto"/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color w:val="000000"/>
          <w:sz w:val="24"/>
          <w:szCs w:val="24"/>
        </w:rPr>
        <w:t>При испытании материалов на твердость не изготавливают стандар</w:t>
      </w:r>
      <w:proofErr w:type="gramStart"/>
      <w:r w:rsidRPr="00373828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3738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73828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373828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специальных образцов, однако к размерам и поверхности образцов и из-</w:t>
      </w:r>
      <w:r w:rsidRPr="003738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73828">
        <w:rPr>
          <w:rFonts w:ascii="Times New Roman" w:hAnsi="Times New Roman" w:cs="Times New Roman"/>
          <w:color w:val="000000"/>
          <w:sz w:val="24"/>
          <w:szCs w:val="24"/>
        </w:rPr>
        <w:t>делий</w:t>
      </w:r>
      <w:proofErr w:type="spellEnd"/>
      <w:r w:rsidRPr="00373828">
        <w:rPr>
          <w:rFonts w:ascii="Times New Roman" w:hAnsi="Times New Roman" w:cs="Times New Roman"/>
          <w:color w:val="000000"/>
          <w:sz w:val="24"/>
          <w:szCs w:val="24"/>
        </w:rPr>
        <w:t xml:space="preserve"> предъявляются определенные требования.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>Метод Бринелля.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Метод измерения твердо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сти металлов по Бринеллю регламентирует ГОСТ 9012 — 59 (ИСО 6506 — 81, ИСО 410 -82).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Сущность метода заключается во вдавлива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нии шарика (стального или из твердого спла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ва) в образец (изделие) под действием силы, приложенной перпендикулярно поверхности образца в течение опр</w:t>
      </w:r>
      <w:r w:rsidRPr="00373828">
        <w:rPr>
          <w:rFonts w:ascii="Times New Roman" w:hAnsi="Times New Roman" w:cs="Times New Roman"/>
          <w:sz w:val="24"/>
          <w:szCs w:val="24"/>
        </w:rPr>
        <w:t>е</w:t>
      </w:r>
      <w:r w:rsidRPr="00373828">
        <w:rPr>
          <w:rFonts w:ascii="Times New Roman" w:hAnsi="Times New Roman" w:cs="Times New Roman"/>
          <w:sz w:val="24"/>
          <w:szCs w:val="24"/>
        </w:rPr>
        <w:t>деленного времени, и измерении диаметра отпечатка после снятия силы.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Твердость по Бринеллю обозначают симво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лом НВ или HBW: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НВ — при применении стального шарика (для металлов и сплавов твердостью  менее 450 единиц);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HBW — при применении шарика из твер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дого сплава (для металлов и сплавов твердо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стью более 450 единиц).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Символу НВ (HBW) предшествует число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вое значение твердости из трех значащих цифр, а после символа указывают диаметр шарика, значение приложенной силы (в кгс), продолжительность в</w:t>
      </w:r>
      <w:r w:rsidRPr="00373828">
        <w:rPr>
          <w:rFonts w:ascii="Times New Roman" w:hAnsi="Times New Roman" w:cs="Times New Roman"/>
          <w:sz w:val="24"/>
          <w:szCs w:val="24"/>
        </w:rPr>
        <w:t>ы</w:t>
      </w:r>
      <w:r w:rsidRPr="00373828">
        <w:rPr>
          <w:rFonts w:ascii="Times New Roman" w:hAnsi="Times New Roman" w:cs="Times New Roman"/>
          <w:sz w:val="24"/>
          <w:szCs w:val="24"/>
        </w:rPr>
        <w:t>держки, если она отли</w:t>
      </w:r>
      <w:r w:rsidRPr="00373828">
        <w:rPr>
          <w:rFonts w:ascii="Times New Roman" w:hAnsi="Times New Roman" w:cs="Times New Roman"/>
          <w:sz w:val="24"/>
          <w:szCs w:val="24"/>
        </w:rPr>
        <w:softHyphen/>
        <w:t xml:space="preserve">чается от 10 до 15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i/>
          <w:iCs/>
          <w:sz w:val="24"/>
          <w:szCs w:val="24"/>
        </w:rPr>
        <w:t>Примеры обозначений: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>250 Н В 5/750 </w:t>
      </w:r>
      <w:r w:rsidRPr="00373828">
        <w:rPr>
          <w:rFonts w:ascii="Times New Roman" w:hAnsi="Times New Roman" w:cs="Times New Roman"/>
          <w:sz w:val="24"/>
          <w:szCs w:val="24"/>
        </w:rPr>
        <w:t>— твердость по Бринеллю 250, определенная при применении стального шарика ди</w:t>
      </w:r>
      <w:r w:rsidRPr="00373828">
        <w:rPr>
          <w:rFonts w:ascii="Times New Roman" w:hAnsi="Times New Roman" w:cs="Times New Roman"/>
          <w:sz w:val="24"/>
          <w:szCs w:val="24"/>
        </w:rPr>
        <w:t>а</w:t>
      </w:r>
      <w:r w:rsidRPr="00373828">
        <w:rPr>
          <w:rFonts w:ascii="Times New Roman" w:hAnsi="Times New Roman" w:cs="Times New Roman"/>
          <w:sz w:val="24"/>
          <w:szCs w:val="24"/>
        </w:rPr>
        <w:t>метром 5 мм при силе 750 кгс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(7355 Н) и продолжительности выдержки от 10 до 15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;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>575 HBW 2,5/187,5/30 </w:t>
      </w:r>
      <w:r w:rsidRPr="00373828">
        <w:rPr>
          <w:rFonts w:ascii="Times New Roman" w:hAnsi="Times New Roman" w:cs="Times New Roman"/>
          <w:sz w:val="24"/>
          <w:szCs w:val="24"/>
        </w:rPr>
        <w:t>— твердость по Бринеллю 575, определенная при применении шарика из твердого сплава диаметром 2,5 мм при силе 187.5 кгс (1839 Н) и продолжитель</w:t>
      </w:r>
      <w:r w:rsidRPr="00373828">
        <w:rPr>
          <w:rFonts w:ascii="Times New Roman" w:hAnsi="Times New Roman" w:cs="Times New Roman"/>
          <w:sz w:val="24"/>
          <w:szCs w:val="24"/>
        </w:rPr>
        <w:softHyphen/>
        <w:t xml:space="preserve">ности выдержки 30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lastRenderedPageBreak/>
        <w:t>При определении твердости стальным ша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риком или шариком из твердого сплава диа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метром 10 мм при силе 3000 кгс (29420 Н) и продолжительности выдержки от 10 до 15 с твердость по Бринеллю   обозначают   только числовым значением твердости и символом НВ или HBW.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Пример обозначения: 185 НВ, 600 HBW.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 xml:space="preserve">Метод </w:t>
      </w:r>
      <w:proofErr w:type="spellStart"/>
      <w:r w:rsidRPr="00373828">
        <w:rPr>
          <w:rFonts w:ascii="Times New Roman" w:hAnsi="Times New Roman" w:cs="Times New Roman"/>
          <w:b/>
          <w:bCs/>
          <w:sz w:val="24"/>
          <w:szCs w:val="24"/>
        </w:rPr>
        <w:t>Виккерса</w:t>
      </w:r>
      <w:proofErr w:type="spellEnd"/>
      <w:r w:rsidRPr="003738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Метод измерения твердости черных и цветных металлов и сплавов при нагрузках от 9,807 Н (1 кгс) до 980,7 Н (100 кгс)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регламентирует ГОСТ 2999 — 75* (в редакции 1987 г.).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Измерение твердости основано на вдавливании алмазного наконечника в форме правильной чет</w:t>
      </w:r>
      <w:r w:rsidRPr="00373828">
        <w:rPr>
          <w:rFonts w:ascii="Times New Roman" w:hAnsi="Times New Roman" w:cs="Times New Roman"/>
          <w:sz w:val="24"/>
          <w:szCs w:val="24"/>
        </w:rPr>
        <w:t>ы</w:t>
      </w:r>
      <w:r w:rsidRPr="00373828">
        <w:rPr>
          <w:rFonts w:ascii="Times New Roman" w:hAnsi="Times New Roman" w:cs="Times New Roman"/>
          <w:sz w:val="24"/>
          <w:szCs w:val="24"/>
        </w:rPr>
        <w:t>рехгранной пирамиды в образец (изделие) под действием силы, приложенной в течение определе</w:t>
      </w:r>
      <w:r w:rsidRPr="00373828">
        <w:rPr>
          <w:rFonts w:ascii="Times New Roman" w:hAnsi="Times New Roman" w:cs="Times New Roman"/>
          <w:sz w:val="24"/>
          <w:szCs w:val="24"/>
        </w:rPr>
        <w:t>н</w:t>
      </w:r>
      <w:r w:rsidRPr="00373828">
        <w:rPr>
          <w:rFonts w:ascii="Times New Roman" w:hAnsi="Times New Roman" w:cs="Times New Roman"/>
          <w:sz w:val="24"/>
          <w:szCs w:val="24"/>
        </w:rPr>
        <w:t>ного времени, и измерении диагоналей отпечатка, оставшихся на поверхности образца после снятия нагрузки.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при условиях испытания — силовое воздействие 294,2 Н (30 кгс) и время в</w:t>
      </w:r>
      <w:r w:rsidRPr="00373828">
        <w:rPr>
          <w:rFonts w:ascii="Times New Roman" w:hAnsi="Times New Roman" w:cs="Times New Roman"/>
          <w:sz w:val="24"/>
          <w:szCs w:val="24"/>
        </w:rPr>
        <w:t>ы</w:t>
      </w:r>
      <w:r w:rsidRPr="00373828">
        <w:rPr>
          <w:rFonts w:ascii="Times New Roman" w:hAnsi="Times New Roman" w:cs="Times New Roman"/>
          <w:sz w:val="24"/>
          <w:szCs w:val="24"/>
        </w:rPr>
        <w:t>держки под нагрузкой 10 … 15 с, обозначают цифрами, характеризующими величину твердости, и буквами HV.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Пример обозначения: 500 HV — 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>, полученная при силе 30 кгс и времени в</w:t>
      </w:r>
      <w:r w:rsidRPr="00373828">
        <w:rPr>
          <w:rFonts w:ascii="Times New Roman" w:hAnsi="Times New Roman" w:cs="Times New Roman"/>
          <w:sz w:val="24"/>
          <w:szCs w:val="24"/>
        </w:rPr>
        <w:t>ы</w:t>
      </w:r>
      <w:r w:rsidRPr="00373828">
        <w:rPr>
          <w:rFonts w:ascii="Times New Roman" w:hAnsi="Times New Roman" w:cs="Times New Roman"/>
          <w:sz w:val="24"/>
          <w:szCs w:val="24"/>
        </w:rPr>
        <w:t xml:space="preserve">держки 10 … 15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При других условиях испытания после букв HV указывают нагрузку и время выдержки.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Пример обозначения: 220 HV 10/40 — 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, полученная при силе 98,07 Н (10 кгс) и времени выдержки 40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Общего точного перевода чисел твердости, измеренных алмазной пирамидой (по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>), на чи</w:t>
      </w:r>
      <w:r w:rsidRPr="00373828">
        <w:rPr>
          <w:rFonts w:ascii="Times New Roman" w:hAnsi="Times New Roman" w:cs="Times New Roman"/>
          <w:sz w:val="24"/>
          <w:szCs w:val="24"/>
        </w:rPr>
        <w:t>с</w:t>
      </w:r>
      <w:r w:rsidRPr="00373828">
        <w:rPr>
          <w:rFonts w:ascii="Times New Roman" w:hAnsi="Times New Roman" w:cs="Times New Roman"/>
          <w:sz w:val="24"/>
          <w:szCs w:val="24"/>
        </w:rPr>
        <w:t>ла твердости по другим шкалам или на прочность при растяжении не существует. Поэтому следует избегать таких переводов, за исключением частных случаев, когда благодаря сравнительным исп</w:t>
      </w:r>
      <w:r w:rsidRPr="00373828">
        <w:rPr>
          <w:rFonts w:ascii="Times New Roman" w:hAnsi="Times New Roman" w:cs="Times New Roman"/>
          <w:sz w:val="24"/>
          <w:szCs w:val="24"/>
        </w:rPr>
        <w:t>ы</w:t>
      </w:r>
      <w:r w:rsidRPr="00373828">
        <w:rPr>
          <w:rFonts w:ascii="Times New Roman" w:hAnsi="Times New Roman" w:cs="Times New Roman"/>
          <w:sz w:val="24"/>
          <w:szCs w:val="24"/>
        </w:rPr>
        <w:t>таниям имеются основания для перевода.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 xml:space="preserve">Метод </w:t>
      </w:r>
      <w:proofErr w:type="spellStart"/>
      <w:r w:rsidRPr="00373828">
        <w:rPr>
          <w:rFonts w:ascii="Times New Roman" w:hAnsi="Times New Roman" w:cs="Times New Roman"/>
          <w:b/>
          <w:bCs/>
          <w:sz w:val="24"/>
          <w:szCs w:val="24"/>
        </w:rPr>
        <w:t>Роквелла</w:t>
      </w:r>
      <w:proofErr w:type="spellEnd"/>
      <w:r w:rsidRPr="003738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Метод измерения твердости металлов и сплавов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Роквеллу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регламентирует ГОСТ 9013 — 59* (в редакции 1989 г.).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Сущность метода занимается во внедрении в поверхность образца (или изделия) алмазного конусн</w:t>
      </w:r>
      <w:r w:rsidRPr="00373828">
        <w:rPr>
          <w:rFonts w:ascii="Times New Roman" w:hAnsi="Times New Roman" w:cs="Times New Roman"/>
          <w:sz w:val="24"/>
          <w:szCs w:val="24"/>
        </w:rPr>
        <w:t>о</w:t>
      </w:r>
      <w:r w:rsidRPr="00373828">
        <w:rPr>
          <w:rFonts w:ascii="Times New Roman" w:hAnsi="Times New Roman" w:cs="Times New Roman"/>
          <w:sz w:val="24"/>
          <w:szCs w:val="24"/>
        </w:rPr>
        <w:t>го (шкалы А. С, D) или стального сферического наконечника (шкалы В, Е, F, G.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Н, К) под действием последовательно прилагаемых предварительной и основной сил и в определении глубины внедрения наконечника после снятия основной силы.</w:t>
      </w:r>
      <w:proofErr w:type="gramEnd"/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Роквеллу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обозначают символом HR с указанием шкалы твердости, которому предшес</w:t>
      </w:r>
      <w:r w:rsidRPr="00373828">
        <w:rPr>
          <w:rFonts w:ascii="Times New Roman" w:hAnsi="Times New Roman" w:cs="Times New Roman"/>
          <w:sz w:val="24"/>
          <w:szCs w:val="24"/>
        </w:rPr>
        <w:t>т</w:t>
      </w:r>
      <w:r w:rsidRPr="00373828">
        <w:rPr>
          <w:rFonts w:ascii="Times New Roman" w:hAnsi="Times New Roman" w:cs="Times New Roman"/>
          <w:sz w:val="24"/>
          <w:szCs w:val="24"/>
        </w:rPr>
        <w:t>вует числовое значение твердости из трех значащих цифр.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Пример обозначения: 61,5 HRC — 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Роквеллу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61,5 единиц по шкале С.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 xml:space="preserve"> Сравнение чисел твердости металлов и сплавов по различным шкалам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9"/>
        <w:gridCol w:w="1359"/>
        <w:gridCol w:w="7"/>
        <w:gridCol w:w="1192"/>
        <w:gridCol w:w="17"/>
        <w:gridCol w:w="827"/>
        <w:gridCol w:w="1158"/>
        <w:gridCol w:w="31"/>
        <w:gridCol w:w="1302"/>
        <w:gridCol w:w="64"/>
        <w:gridCol w:w="1209"/>
        <w:gridCol w:w="61"/>
        <w:gridCol w:w="1333"/>
      </w:tblGrid>
      <w:tr w:rsidR="00654614" w:rsidRPr="00373828" w:rsidTr="002D7BD3">
        <w:trPr>
          <w:trHeight w:val="241"/>
        </w:trPr>
        <w:tc>
          <w:tcPr>
            <w:tcW w:w="118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Виккерс</w:t>
            </w:r>
            <w:proofErr w:type="spellEnd"/>
          </w:p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HV</w:t>
            </w:r>
          </w:p>
        </w:tc>
        <w:tc>
          <w:tcPr>
            <w:tcW w:w="13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Бринелль</w:t>
            </w:r>
          </w:p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</w:p>
        </w:tc>
        <w:tc>
          <w:tcPr>
            <w:tcW w:w="12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Роквелл</w:t>
            </w:r>
            <w:proofErr w:type="spellEnd"/>
          </w:p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HRB</w:t>
            </w:r>
          </w:p>
        </w:tc>
        <w:tc>
          <w:tcPr>
            <w:tcW w:w="827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σв,</w:t>
            </w:r>
          </w:p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11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Виккерс</w:t>
            </w:r>
            <w:proofErr w:type="spellEnd"/>
          </w:p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HV</w:t>
            </w:r>
          </w:p>
        </w:tc>
        <w:tc>
          <w:tcPr>
            <w:tcW w:w="13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Бринелль</w:t>
            </w:r>
          </w:p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Роквел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HRC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σв,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654614" w:rsidRPr="00373828" w:rsidTr="002D7BD3">
        <w:trPr>
          <w:trHeight w:val="414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</w:tr>
      <w:tr w:rsidR="00654614" w:rsidRPr="00373828" w:rsidTr="002D7BD3">
        <w:trPr>
          <w:trHeight w:val="469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654614" w:rsidRPr="00373828" w:rsidTr="002D7BD3">
        <w:trPr>
          <w:trHeight w:val="414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</w:tr>
      <w:tr w:rsidR="00654614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</w:tr>
      <w:tr w:rsidR="00654614" w:rsidRPr="00373828" w:rsidTr="002D7BD3">
        <w:trPr>
          <w:trHeight w:val="167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</w:tr>
      <w:tr w:rsidR="00654614" w:rsidRPr="00373828" w:rsidTr="002D7BD3">
        <w:trPr>
          <w:trHeight w:val="27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</w:tr>
      <w:tr w:rsidR="00654614" w:rsidRPr="00373828" w:rsidTr="002D7BD3">
        <w:trPr>
          <w:trHeight w:val="388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</w:tr>
      <w:tr w:rsidR="00654614" w:rsidRPr="00373828" w:rsidTr="002D7BD3">
        <w:trPr>
          <w:trHeight w:val="225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654614" w:rsidRPr="00373828" w:rsidTr="002D7BD3">
        <w:trPr>
          <w:trHeight w:val="329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654614" w:rsidRPr="00373828" w:rsidTr="002D7BD3">
        <w:trPr>
          <w:trHeight w:val="249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</w:tr>
      <w:tr w:rsidR="00654614" w:rsidRPr="00373828" w:rsidTr="002D7BD3">
        <w:trPr>
          <w:trHeight w:val="353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54614" w:rsidRPr="00373828" w:rsidTr="002D7BD3">
        <w:trPr>
          <w:trHeight w:val="23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654614" w:rsidRPr="00373828" w:rsidTr="002D7BD3">
        <w:trPr>
          <w:trHeight w:val="193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654614" w:rsidRPr="00373828" w:rsidTr="002D7BD3">
        <w:trPr>
          <w:trHeight w:val="297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654614" w:rsidRPr="00373828" w:rsidTr="002D7BD3">
        <w:trPr>
          <w:trHeight w:val="244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54614" w:rsidRPr="00373828" w:rsidTr="002D7BD3">
        <w:trPr>
          <w:trHeight w:val="35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654614" w:rsidRPr="00373828" w:rsidRDefault="00654614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Примечание.   Погрешность перевода чисел твердости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в единицы Бринелля ± 20 НВ; в единицы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Роквелла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— до ± 3 HRC (HRB); значения σ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 xml:space="preserve"> до ± 10 %.</w:t>
      </w:r>
    </w:p>
    <w:p w:rsidR="00654614" w:rsidRPr="00373828" w:rsidRDefault="00654614" w:rsidP="006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В табл. 2 приводятся приближенные соотношения между числами твердости, определенные разли</w:t>
      </w:r>
      <w:r w:rsidRPr="00373828">
        <w:rPr>
          <w:rFonts w:ascii="Times New Roman" w:hAnsi="Times New Roman" w:cs="Times New Roman"/>
          <w:sz w:val="24"/>
          <w:szCs w:val="24"/>
        </w:rPr>
        <w:t>ч</w:t>
      </w:r>
      <w:r w:rsidRPr="00373828">
        <w:rPr>
          <w:rFonts w:ascii="Times New Roman" w:hAnsi="Times New Roman" w:cs="Times New Roman"/>
          <w:sz w:val="24"/>
          <w:szCs w:val="24"/>
        </w:rPr>
        <w:t>ными методами. С достаточной степенью точности для конструкционных углеродистых и легир</w:t>
      </w:r>
      <w:r w:rsidRPr="00373828">
        <w:rPr>
          <w:rFonts w:ascii="Times New Roman" w:hAnsi="Times New Roman" w:cs="Times New Roman"/>
          <w:sz w:val="24"/>
          <w:szCs w:val="24"/>
        </w:rPr>
        <w:t>о</w:t>
      </w:r>
      <w:r w:rsidRPr="00373828">
        <w:rPr>
          <w:rFonts w:ascii="Times New Roman" w:hAnsi="Times New Roman" w:cs="Times New Roman"/>
          <w:sz w:val="24"/>
          <w:szCs w:val="24"/>
        </w:rPr>
        <w:t>ванных сталей перлитного класса, для которых 150 НВ, можно принять σ0,2 = 0.367 НВ, для стали НВ &lt; 150  σ0,2 ≈ 0,2 НВ. Для конструкционных сталей низко-тегированных и углеродистых (НВ &gt; 150) σв * ≈ 0,345 НВ. Для более точного пересчета НВ на HRC рекомендуется пользоваться ГОСТ 22761-77.</w:t>
      </w:r>
    </w:p>
    <w:p w:rsidR="00654614" w:rsidRPr="0092427E" w:rsidRDefault="00654614" w:rsidP="006546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 xml:space="preserve">2. Содержание отчета: </w:t>
      </w:r>
    </w:p>
    <w:p w:rsidR="00654614" w:rsidRDefault="00654614" w:rsidP="0065461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Описать методы определения твердости по Бринеллю, </w:t>
      </w:r>
      <w:proofErr w:type="spellStart"/>
      <w:r>
        <w:rPr>
          <w:color w:val="000000"/>
        </w:rPr>
        <w:t>Роквеллу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Виккерсу</w:t>
      </w:r>
      <w:proofErr w:type="spellEnd"/>
      <w:r>
        <w:rPr>
          <w:color w:val="000000"/>
        </w:rPr>
        <w:t>.</w:t>
      </w:r>
    </w:p>
    <w:p w:rsidR="00654614" w:rsidRPr="00373828" w:rsidRDefault="00654614" w:rsidP="0065461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Сравнить м</w:t>
      </w:r>
      <w:r w:rsidRPr="0071423B">
        <w:t>етод</w:t>
      </w:r>
      <w:r>
        <w:t xml:space="preserve">ы </w:t>
      </w:r>
      <w:r w:rsidRPr="0071423B">
        <w:t xml:space="preserve"> измерения твердо</w:t>
      </w:r>
      <w:r w:rsidRPr="0071423B">
        <w:softHyphen/>
        <w:t>сти металлов</w:t>
      </w:r>
      <w:r>
        <w:t xml:space="preserve"> и числа твердости по  таблице</w:t>
      </w:r>
      <w:r w:rsidRPr="0071423B">
        <w:rPr>
          <w:color w:val="000000"/>
        </w:rPr>
        <w:t>.</w:t>
      </w:r>
    </w:p>
    <w:p w:rsidR="00654614" w:rsidRPr="00373828" w:rsidRDefault="00654614" w:rsidP="00654614">
      <w:pPr>
        <w:pStyle w:val="a7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Ответить на контрольные вопросы:</w:t>
      </w:r>
    </w:p>
    <w:p w:rsidR="00654614" w:rsidRDefault="00654614" w:rsidP="0065461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определяют твердость металла</w:t>
      </w:r>
    </w:p>
    <w:p w:rsidR="00654614" w:rsidRPr="0092427E" w:rsidRDefault="00654614" w:rsidP="0065461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ГОСТ нужно пользоваться при подсчете твердости</w:t>
      </w:r>
    </w:p>
    <w:p w:rsidR="00654614" w:rsidRPr="00654614" w:rsidRDefault="00654614" w:rsidP="00654614">
      <w:pPr>
        <w:pStyle w:val="1"/>
        <w:rPr>
          <w:rFonts w:cs="Times New Roman"/>
          <w:szCs w:val="28"/>
          <w:u w:val="single"/>
        </w:rPr>
      </w:pPr>
    </w:p>
    <w:sectPr w:rsidR="00654614" w:rsidRPr="00654614" w:rsidSect="00CA35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159C4"/>
    <w:multiLevelType w:val="hybridMultilevel"/>
    <w:tmpl w:val="53CA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D4FE8"/>
    <w:multiLevelType w:val="hybridMultilevel"/>
    <w:tmpl w:val="DCC871B0"/>
    <w:lvl w:ilvl="0" w:tplc="CD1A1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16"/>
  </w:num>
  <w:num w:numId="15">
    <w:abstractNumId w:val="3"/>
  </w:num>
  <w:num w:numId="16">
    <w:abstractNumId w:val="11"/>
  </w:num>
  <w:num w:numId="17">
    <w:abstractNumId w:val="12"/>
  </w:num>
  <w:num w:numId="18">
    <w:abstractNumId w:val="15"/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26291"/>
    <w:rsid w:val="00092148"/>
    <w:rsid w:val="000B0D4B"/>
    <w:rsid w:val="00152C0A"/>
    <w:rsid w:val="001A4663"/>
    <w:rsid w:val="001E00EC"/>
    <w:rsid w:val="00202425"/>
    <w:rsid w:val="002202A7"/>
    <w:rsid w:val="00227A37"/>
    <w:rsid w:val="0023208D"/>
    <w:rsid w:val="00404285"/>
    <w:rsid w:val="00430ABC"/>
    <w:rsid w:val="005348F6"/>
    <w:rsid w:val="005359AB"/>
    <w:rsid w:val="005F0320"/>
    <w:rsid w:val="0061101B"/>
    <w:rsid w:val="006351B9"/>
    <w:rsid w:val="00654614"/>
    <w:rsid w:val="00701651"/>
    <w:rsid w:val="007C184F"/>
    <w:rsid w:val="008371CC"/>
    <w:rsid w:val="00853404"/>
    <w:rsid w:val="008622B7"/>
    <w:rsid w:val="00874E56"/>
    <w:rsid w:val="008A37C4"/>
    <w:rsid w:val="00945D37"/>
    <w:rsid w:val="00963970"/>
    <w:rsid w:val="009C1D0C"/>
    <w:rsid w:val="009F0941"/>
    <w:rsid w:val="00A25E19"/>
    <w:rsid w:val="00A66881"/>
    <w:rsid w:val="00A73DCD"/>
    <w:rsid w:val="00A9230E"/>
    <w:rsid w:val="00B07E12"/>
    <w:rsid w:val="00BC2E72"/>
    <w:rsid w:val="00BF3D44"/>
    <w:rsid w:val="00C23AB4"/>
    <w:rsid w:val="00C3668B"/>
    <w:rsid w:val="00C47637"/>
    <w:rsid w:val="00C74E04"/>
    <w:rsid w:val="00C82E62"/>
    <w:rsid w:val="00CA3518"/>
    <w:rsid w:val="00CF0E9A"/>
    <w:rsid w:val="00D5422C"/>
    <w:rsid w:val="00D63D8D"/>
    <w:rsid w:val="00DC3DFC"/>
    <w:rsid w:val="00DD35FE"/>
    <w:rsid w:val="00DE7920"/>
    <w:rsid w:val="00EF5F76"/>
    <w:rsid w:val="00F07456"/>
    <w:rsid w:val="00F5611E"/>
    <w:rsid w:val="00F649B0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b">
    <w:name w:val="No Spacing"/>
    <w:uiPriority w:val="1"/>
    <w:qFormat/>
    <w:rsid w:val="006546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6"/>
    <w:rsid w:val="00654614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c"/>
    <w:rsid w:val="00654614"/>
    <w:pPr>
      <w:widowControl w:val="0"/>
      <w:shd w:val="clear" w:color="auto" w:fill="FFFFFF"/>
      <w:spacing w:after="0" w:line="0" w:lineRule="atLeast"/>
      <w:jc w:val="right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654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2020-03-17T07:00:00Z</dcterms:created>
  <dcterms:modified xsi:type="dcterms:W3CDTF">2020-11-14T09:28:00Z</dcterms:modified>
</cp:coreProperties>
</file>