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207360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52F0F">
        <w:rPr>
          <w:rFonts w:ascii="Times New Roman" w:hAnsi="Times New Roman" w:cs="Times New Roman"/>
          <w:sz w:val="28"/>
          <w:szCs w:val="28"/>
        </w:rPr>
        <w:t xml:space="preserve"> Проверка качества реза.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825D59" w:rsidRDefault="00452F0F" w:rsidP="00452F0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методические рекомендации и с</w:t>
      </w:r>
      <w:r w:rsidRPr="00452F0F">
        <w:rPr>
          <w:sz w:val="28"/>
          <w:szCs w:val="28"/>
        </w:rPr>
        <w:t>оставить конспект</w:t>
      </w:r>
    </w:p>
    <w:p w:rsidR="00452F0F" w:rsidRDefault="00441137" w:rsidP="00452F0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фото дефекты после реза. Выявить причину их возникновения</w:t>
      </w:r>
    </w:p>
    <w:p w:rsidR="00441137" w:rsidRPr="00452F0F" w:rsidRDefault="00441137" w:rsidP="00452F0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Схематически изобразить кислородную резку по </w:t>
      </w:r>
      <w:r w:rsidR="0041397C">
        <w:rPr>
          <w:sz w:val="28"/>
          <w:szCs w:val="28"/>
        </w:rPr>
        <w:t xml:space="preserve">трем классам поверхности реза, </w:t>
      </w:r>
      <w:proofErr w:type="gramStart"/>
      <w:r w:rsidR="0041397C">
        <w:rPr>
          <w:sz w:val="28"/>
          <w:szCs w:val="28"/>
        </w:rPr>
        <w:t>пользуясь</w:t>
      </w:r>
      <w:proofErr w:type="gramEnd"/>
      <w:r w:rsidR="0041397C">
        <w:rPr>
          <w:sz w:val="28"/>
          <w:szCs w:val="28"/>
        </w:rPr>
        <w:t xml:space="preserve"> ГОСТ 14792.</w:t>
      </w:r>
    </w:p>
    <w:p w:rsidR="000E71AF" w:rsidRDefault="000E71AF" w:rsidP="005C634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Pr="005C6346" w:rsidRDefault="00954F2D" w:rsidP="005C6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346">
        <w:rPr>
          <w:b/>
          <w:sz w:val="28"/>
          <w:szCs w:val="28"/>
          <w:u w:val="single"/>
        </w:rPr>
        <w:t>Оформить работу</w:t>
      </w:r>
      <w:r w:rsidR="005C6346">
        <w:rPr>
          <w:b/>
          <w:sz w:val="28"/>
          <w:szCs w:val="28"/>
          <w:u w:val="single"/>
        </w:rPr>
        <w:t xml:space="preserve"> до 17.04.2020</w:t>
      </w:r>
      <w:r w:rsidRPr="005C6346">
        <w:rPr>
          <w:b/>
          <w:sz w:val="28"/>
          <w:szCs w:val="28"/>
          <w:u w:val="single"/>
        </w:rPr>
        <w:t xml:space="preserve"> и отправить по ссылке </w:t>
      </w:r>
      <w:hyperlink r:id="rId5" w:history="1">
        <w:r w:rsidRPr="005C6346">
          <w:rPr>
            <w:rStyle w:val="a5"/>
            <w:b/>
            <w:sz w:val="28"/>
            <w:szCs w:val="28"/>
          </w:rPr>
          <w:t>https://vk.com/id308588669</w:t>
        </w:r>
      </w:hyperlink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25D59" w:rsidRPr="00452F0F" w:rsidRDefault="005C6346" w:rsidP="0082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2F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</w:p>
    <w:p w:rsidR="00452F0F" w:rsidRPr="00452F0F" w:rsidRDefault="00452F0F" w:rsidP="00452F0F">
      <w:pPr>
        <w:pStyle w:val="metacategories"/>
      </w:pPr>
      <w:hyperlink r:id="rId6" w:history="1">
        <w:r w:rsidRPr="00452F0F">
          <w:rPr>
            <w:rStyle w:val="a5"/>
            <w:color w:val="auto"/>
          </w:rPr>
          <w:t>Кислородная резка металла</w:t>
        </w:r>
      </w:hyperlink>
    </w:p>
    <w:p w:rsidR="00452F0F" w:rsidRDefault="00452F0F" w:rsidP="00452F0F">
      <w:pPr>
        <w:pStyle w:val="a3"/>
        <w:jc w:val="center"/>
      </w:pPr>
      <w:r>
        <w:rPr>
          <w:noProof/>
        </w:rPr>
        <w:drawing>
          <wp:inline distT="0" distB="0" distL="0" distR="0">
            <wp:extent cx="4763135" cy="1645920"/>
            <wp:effectExtent l="19050" t="0" r="0" b="0"/>
            <wp:docPr id="1" name="Рисунок 1" descr="defekty-kislorodnoj-rezki-metalla-prichiny-ix-vozniknoveniya-i-sposoby-ustran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ekty-kislorodnoj-rezki-metalla-prichiny-ix-vozniknoveniya-i-sposoby-ustraneni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0F" w:rsidRDefault="00452F0F" w:rsidP="00452F0F">
      <w:pPr>
        <w:pStyle w:val="1"/>
        <w:jc w:val="center"/>
      </w:pPr>
      <w:r>
        <w:rPr>
          <w:rStyle w:val="a4"/>
          <w:b/>
          <w:bCs/>
        </w:rPr>
        <w:t>Дефекты кислородной резки металла. Причины их возникновения и способы устранения.</w:t>
      </w:r>
    </w:p>
    <w:p w:rsidR="00452F0F" w:rsidRPr="00452F0F" w:rsidRDefault="00452F0F" w:rsidP="00452F0F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52F0F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>Качество кислородной резки.</w:t>
      </w:r>
    </w:p>
    <w:p w:rsidR="00452F0F" w:rsidRPr="00452F0F" w:rsidRDefault="00452F0F" w:rsidP="0045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0F">
        <w:rPr>
          <w:rFonts w:ascii="Times New Roman" w:hAnsi="Times New Roman" w:cs="Times New Roman"/>
          <w:sz w:val="24"/>
          <w:szCs w:val="24"/>
        </w:rPr>
        <w:t>Высокое качество кислородной резки способствует повышению производительности труда на последующих операциях — сборке и сварке деталей.</w:t>
      </w:r>
    </w:p>
    <w:p w:rsidR="00452F0F" w:rsidRPr="00452F0F" w:rsidRDefault="00452F0F" w:rsidP="00452F0F">
      <w:pPr>
        <w:pStyle w:val="a3"/>
        <w:spacing w:before="0" w:beforeAutospacing="0" w:after="0" w:afterAutospacing="0"/>
        <w:jc w:val="both"/>
      </w:pPr>
      <w:r w:rsidRPr="00452F0F">
        <w:t xml:space="preserve">Качество резки зависит от состава разрезаемого металла и чистоты его поверхности, чистоты кислорода и его рабочего давления, рода горючего и состояния </w:t>
      </w:r>
      <w:hyperlink r:id="rId8" w:tgtFrame="_blank" w:history="1">
        <w:r w:rsidRPr="00452F0F">
          <w:rPr>
            <w:rStyle w:val="a5"/>
            <w:bCs/>
            <w:color w:val="auto"/>
            <w:u w:val="none"/>
          </w:rPr>
          <w:t>подогревательного пламени</w:t>
        </w:r>
      </w:hyperlink>
      <w:r w:rsidRPr="00452F0F">
        <w:t>, скорости резки и расстояния от мундштука до разрезаемого листа, исправности состояния мундштуков, аппаратуры и машин.</w:t>
      </w:r>
    </w:p>
    <w:p w:rsidR="00452F0F" w:rsidRPr="00452F0F" w:rsidRDefault="00452F0F" w:rsidP="00452F0F">
      <w:pPr>
        <w:pStyle w:val="a3"/>
        <w:spacing w:before="0" w:beforeAutospacing="0" w:after="0" w:afterAutospacing="0"/>
        <w:jc w:val="both"/>
      </w:pPr>
      <w:r w:rsidRPr="00452F0F">
        <w:t xml:space="preserve">Основные дефекты </w:t>
      </w:r>
      <w:hyperlink r:id="rId9" w:tgtFrame="_blank" w:history="1">
        <w:r w:rsidRPr="00452F0F">
          <w:rPr>
            <w:rStyle w:val="a5"/>
            <w:bCs/>
            <w:color w:val="auto"/>
            <w:u w:val="none"/>
          </w:rPr>
          <w:t>кислородной резки</w:t>
        </w:r>
      </w:hyperlink>
      <w:r w:rsidRPr="00452F0F">
        <w:t xml:space="preserve"> (рис. 1—4), их причины и способы устранения даны в табл. 1. </w:t>
      </w:r>
    </w:p>
    <w:p w:rsidR="00452F0F" w:rsidRPr="00452F0F" w:rsidRDefault="00452F0F" w:rsidP="00452F0F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52F0F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>Дефекты при кислородной резке металла.</w:t>
      </w:r>
    </w:p>
    <w:p w:rsidR="00452F0F" w:rsidRDefault="00452F0F" w:rsidP="00452F0F">
      <w:pPr>
        <w:pStyle w:val="a3"/>
      </w:pPr>
      <w:r>
        <w:t> </w:t>
      </w:r>
    </w:p>
    <w:p w:rsidR="00452F0F" w:rsidRDefault="00452F0F" w:rsidP="00452F0F">
      <w:pPr>
        <w:pStyle w:val="a3"/>
      </w:pPr>
    </w:p>
    <w:p w:rsidR="00452F0F" w:rsidRDefault="00452F0F" w:rsidP="00452F0F">
      <w:pPr>
        <w:pStyle w:val="a3"/>
        <w:jc w:val="center"/>
      </w:pPr>
      <w:r>
        <w:rPr>
          <w:rStyle w:val="a4"/>
        </w:rPr>
        <w:lastRenderedPageBreak/>
        <w:t>Таблица 1. Основные дефекты кислородной резки, причины их возникновения и способы устранения.</w:t>
      </w:r>
    </w:p>
    <w:tbl>
      <w:tblPr>
        <w:tblW w:w="9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2721"/>
        <w:gridCol w:w="3609"/>
      </w:tblGrid>
      <w:tr w:rsidR="00452F0F" w:rsidRPr="00452F0F" w:rsidTr="00452F0F">
        <w:trPr>
          <w:tblCellSpacing w:w="15" w:type="dxa"/>
        </w:trPr>
        <w:tc>
          <w:tcPr>
            <w:tcW w:w="259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Дефекты кислородной резки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Причины дефектов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Способы устранения дефектов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Merge w:val="restart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Выхваты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реза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noProof/>
              </w:rPr>
              <w:drawing>
                <wp:inline distT="0" distB="0" distL="0" distR="0">
                  <wp:extent cx="1709420" cy="580390"/>
                  <wp:effectExtent l="19050" t="0" r="5080" b="0"/>
                  <wp:docPr id="3" name="Рисунок 3" descr="defekty-kislorodnoj-rezki-metalla-prichiny-ix-vozniknoveniya-i-sposoby-ustraneni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fekty-kislorodnoj-rezki-metalla-prichiny-ix-vozniknoveniya-i-sposoby-ustraneni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4"/>
              </w:rPr>
              <w:t>(рис. 1)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Хлопки резака от его неисправности, перегрева или прикасания к разрезаемой поверхности, а также от недостатка горючего или попадания окалины на отверстие мундштука;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Работать только исправным резаком, не допуская его перегревов и прикасания мундштука к разрезаемой поверхности. В случае перегрева резака своевременно охлаждать его в сосуде с водой. Увеличить подачу горючего, не допускать частых перерывов процесса резки;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б) качание резака </w:t>
            </w:r>
            <w:proofErr w:type="gram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непрочности закрепления его в держателе или люфт в поперечной штанге;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добиться прочного закрепления резака в держателе и устранения люфта в поперечной штанге;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толчки машины на плохо пригнанных стыках направляющих путей;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тщательно пригнать стыки направляющих рельсовых путей;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начало реза непосредственно на чистовой кромке детали после перерыва резки;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при вынужденных перерывах резки начинать рез на отходе листа на расстоянии 20—30 мм от контура детали с последующим доведением резака вручную до чистовой кромки;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) расслоение металла.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) перенести контур детали дальше от кромки листа.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Местные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непрорезы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в нижней части кромки, конусность реза, образование впадин на поверхности реза под верхней кромкой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noProof/>
              </w:rPr>
              <w:drawing>
                <wp:inline distT="0" distB="0" distL="0" distR="0">
                  <wp:extent cx="1542415" cy="524510"/>
                  <wp:effectExtent l="19050" t="0" r="635" b="0"/>
                  <wp:docPr id="4" name="Рисунок 4" descr="defekty-kislorodnoj-rezki-metalla-prichiny-ix-vozniknoveniya-i-sposoby-ustraneniy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fekty-kislorodnoj-rezki-metalla-prichiny-ix-vozniknoveniya-i-sposoby-ustraneniy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4"/>
              </w:rPr>
              <w:t>(рис. 2)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Чрезмерная скорость резки.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скорость движения резака соответственно разрезаемой толщине и поддерживать ее в процессе резки постоянной. Скорость отрегулировать пробным резом на отходе листа до начала резки детали.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Merge w:val="restart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Оплавление верхних кромок реза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noProof/>
              </w:rPr>
              <w:lastRenderedPageBreak/>
              <w:drawing>
                <wp:inline distT="0" distB="0" distL="0" distR="0">
                  <wp:extent cx="1621790" cy="516890"/>
                  <wp:effectExtent l="19050" t="0" r="0" b="0"/>
                  <wp:docPr id="5" name="Рисунок 5" descr="defekty-kislorodnoj-rezki-metalla-prichiny-ix-vozniknoveniya-i-sposoby-ustraneniy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fekty-kislorodnoj-rezki-metalla-prichiny-ix-vozniknoveniya-i-sposoby-ustraneniy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4"/>
              </w:rPr>
              <w:t>(рис. 3)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Чрезмерно сильное пламя;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Отрегулировать пламя, чтобы оно было нейтральным или слегка окислительным, т. е. с 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небольшим избытком кислорода;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замедленная скорость резки;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установить нормальную скорость движения резака для данной толщины металла;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увеличенное расстояние конца мундштука от разрезаемого листа;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в) поддерживать </w:t>
            </w:r>
            <w:proofErr w:type="gram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мундштука резака до изделия, при котором ядро пламени должно почти касаться поверхности металла;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особые свойства некоторых марок стали, при резке которых образуются каплеобразные наплывы.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при резке стали, у которой по верхней кромке образуются наплывы, следует увеличить скорость резки.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Merge w:val="restart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Неперпендикулярность кромок реза к поверхности изделия.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t> 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Неправильная установка резака или погнутость его;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Установить резак строго перпендикулярно к поверхности разрезаемого листа. Пользоваться исправными резаками;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негоризонтальность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рельсовых путей стационарной машины и плоскости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раскроечного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стола. Неровная поверхность листа;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б) выверить рельсовые пути и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раскроечный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стол и установить их строго горизонтально. Выправить лист;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чрезмерное или недостаточное давление кислорода для данной толщины;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отрегулировать нормальное давление кислорода. Проверить исправность редуктора;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отклонение режущей струи кислорода при перекосах или засорении внутреннего мундштука.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прочистить канал внутреннего мундштука медной или латунной иглой.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a"/>
                <w:b/>
                <w:bCs/>
              </w:rPr>
              <w:t>Во всех случаях перед началом работы сделать пробный рез на отходе листа и проверить перпендикулярность к поверхности листа угольником.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Merge w:val="restart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угла разделки кромок выше допускаемых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Неправильная установка резака на заданный угол;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Установить резак на строго требуемый угол скоса;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непрочное крепление резака в держателе;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прочно закрепить резак в держателе, устранить люфты;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засорение мундштука;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прочистить канал режущего кислорода медной или латунной иглой;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резка плохо выправленного металла.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г) производить резку только выправленного металла.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a"/>
                <w:b/>
                <w:bCs/>
              </w:rPr>
              <w:t>Во всех случаях перед началом снятия фасок нужно сделать пробный рез и величину угла проверить по угломеру или шаблону. Проверка должна производиться в процессе всей резки.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2595" w:type="dxa"/>
            <w:vMerge w:val="restart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Зарезы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noProof/>
              </w:rPr>
              <w:drawing>
                <wp:inline distT="0" distB="0" distL="0" distR="0">
                  <wp:extent cx="1621790" cy="492760"/>
                  <wp:effectExtent l="19050" t="0" r="0" b="0"/>
                  <wp:docPr id="6" name="Рисунок 6" descr="defekty-kislorodnoj-rezki-metalla-prichiny-ix-vozniknoveniya-i-sposoby-ustraneniy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fekty-kislorodnoj-rezki-metalla-prichiny-ix-vozniknoveniya-i-sposoby-ustraneniy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0F" w:rsidRPr="00452F0F" w:rsidRDefault="00452F0F">
            <w:pPr>
              <w:pStyle w:val="a3"/>
              <w:jc w:val="center"/>
            </w:pPr>
            <w:r w:rsidRPr="00452F0F">
              <w:rPr>
                <w:rStyle w:val="a4"/>
              </w:rPr>
              <w:t>(рис. 4)</w:t>
            </w: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Невнимательность газорезчика;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6.</w:t>
            </w: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а) В процессе резки проявлять максимум внимания и устранять причины возникновения дефектов;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сход переносной машины с направляющих путей на плохо пригнанных стыках или по другим причинам;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б) тщательно подогнать стыки направляющих рельсовых путей;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задевание шлангов или электропровода за какие-либо препятствия;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в) следить за свободным перемещением шлангов и электропровода;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г) отход магнитного ролика от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копирной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рейки;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г) перед началом работы проверить горизонтальность укладки </w:t>
            </w: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копирных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 xml:space="preserve"> щитов, достаточность магнитного притяжения и отсутствие препятствий на пути перемещения ролика;</w:t>
            </w:r>
          </w:p>
        </w:tc>
      </w:tr>
      <w:tr w:rsidR="00452F0F" w:rsidRPr="00452F0F" w:rsidTr="00452F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2F0F" w:rsidRPr="00452F0F" w:rsidRDefault="0045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  <w:hideMark/>
          </w:tcPr>
          <w:p w:rsidR="00452F0F" w:rsidRPr="00452F0F" w:rsidRDefault="0045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2F0F">
              <w:rPr>
                <w:rFonts w:ascii="Times New Roman" w:hAnsi="Times New Roman" w:cs="Times New Roman"/>
                <w:sz w:val="24"/>
                <w:szCs w:val="24"/>
              </w:rPr>
              <w:t>) значительный люфт в держателе резака.</w:t>
            </w:r>
          </w:p>
        </w:tc>
        <w:tc>
          <w:tcPr>
            <w:tcW w:w="3675" w:type="dxa"/>
            <w:vAlign w:val="center"/>
            <w:hideMark/>
          </w:tcPr>
          <w:p w:rsidR="00452F0F" w:rsidRPr="00452F0F" w:rsidRDefault="00452F0F">
            <w:pPr>
              <w:pStyle w:val="a3"/>
              <w:jc w:val="center"/>
            </w:pPr>
            <w:proofErr w:type="spellStart"/>
            <w:r w:rsidRPr="00452F0F">
              <w:t>д</w:t>
            </w:r>
            <w:proofErr w:type="spellEnd"/>
            <w:r w:rsidRPr="00452F0F">
              <w:t>) устранить люфт.</w:t>
            </w:r>
          </w:p>
        </w:tc>
      </w:tr>
    </w:tbl>
    <w:p w:rsidR="00452F0F" w:rsidRPr="00452F0F" w:rsidRDefault="00452F0F" w:rsidP="00452F0F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52F0F">
        <w:rPr>
          <w:rStyle w:val="a4"/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>Контроль качества резки металла.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 xml:space="preserve">Помимо работников отдела технического </w:t>
      </w:r>
      <w:proofErr w:type="gramStart"/>
      <w:r w:rsidRPr="00452F0F">
        <w:t>контроля, за</w:t>
      </w:r>
      <w:proofErr w:type="gramEnd"/>
      <w:r w:rsidRPr="00452F0F">
        <w:t xml:space="preserve"> качеством резки следят мастера </w:t>
      </w:r>
      <w:proofErr w:type="spellStart"/>
      <w:r w:rsidRPr="00452F0F">
        <w:t>газорезательных</w:t>
      </w:r>
      <w:proofErr w:type="spellEnd"/>
      <w:r w:rsidRPr="00452F0F">
        <w:t xml:space="preserve"> участков и сами газорезчики. Газорезчики должны иметь комплект шаблонов и измерительного инструмента и знать технические условия изготовления тех или иных деталей.</w:t>
      </w:r>
      <w:r w:rsidRPr="00452F0F">
        <w:rPr>
          <w:rStyle w:val="a4"/>
          <w:b w:val="0"/>
        </w:rPr>
        <w:t> 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 xml:space="preserve">Контроль качества </w:t>
      </w:r>
      <w:hyperlink r:id="rId18" w:tgtFrame="_blank" w:history="1">
        <w:r w:rsidRPr="00452F0F">
          <w:rPr>
            <w:rStyle w:val="a5"/>
            <w:bCs/>
            <w:color w:val="auto"/>
            <w:u w:val="none"/>
          </w:rPr>
          <w:t>кислородной резки</w:t>
        </w:r>
      </w:hyperlink>
      <w:r w:rsidRPr="00452F0F">
        <w:t xml:space="preserve"> начинают с проверки качества поступающего металла. По сертификату устанавливают пригодность материала по химическому составу и размерам, а также проверяют чистоту поверхности.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 xml:space="preserve">Детали, обрабатываемые по разметке на переносных машинах (обшивка, стрингеры, листы настила, переборок и др.), имеют по всему контуру на расстоянии 100 мм от кромок контрольную риску, по которой в процессе резки, при зачистке и приемке деталей проверяется правильность обработки. Для этого пользуются простым металлическим </w:t>
      </w:r>
      <w:r w:rsidRPr="00452F0F">
        <w:lastRenderedPageBreak/>
        <w:t>угольником, имеющим на одной стороне засечку на расстоянии 100 мм. В процессе резки газорезчик, прикладывая угольник к обрезанной кромке, проверяет совпадение контрольной риски на детали с засечкой на угольнике; несовпадение указывает на отклонение резака от линии разметки. Этим же угольником газорезчик пользуется для проверки перпендикулярности кромок реза к поверхности разрезаемого листа.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 xml:space="preserve">Для контроля размеров скоса кромок по углу применяются специальные шаблоны или угломеры. Каждый газорезчик на переносных </w:t>
      </w:r>
      <w:proofErr w:type="spellStart"/>
      <w:r w:rsidRPr="00452F0F">
        <w:t>газорезательных</w:t>
      </w:r>
      <w:proofErr w:type="spellEnd"/>
      <w:r w:rsidRPr="00452F0F">
        <w:t xml:space="preserve"> машинах должен иметь универсальный угломер или набор самодельных шаблонов для проверки наиболее часто обрабатываемых фасок 25, 30 и 50°.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>Прямолинейность кромок вырезаемых деталей проверяется металлическими линейками, а общие размеры их — рулетками.</w:t>
      </w:r>
    </w:p>
    <w:p w:rsidR="00452F0F" w:rsidRPr="00452F0F" w:rsidRDefault="00452F0F" w:rsidP="00452F0F">
      <w:pPr>
        <w:pStyle w:val="a3"/>
        <w:spacing w:before="0" w:beforeAutospacing="0" w:after="0" w:afterAutospacing="0"/>
        <w:jc w:val="both"/>
      </w:pPr>
      <w:r w:rsidRPr="00452F0F">
        <w:t xml:space="preserve">Чистота поверхности реза проверяется наружным осмотром невооруженным глазом. Для выявления следов расслоения и трещин в зоне реза (главным образом в местах </w:t>
      </w:r>
      <w:proofErr w:type="spellStart"/>
      <w:r w:rsidRPr="00452F0F">
        <w:t>выхватов</w:t>
      </w:r>
      <w:proofErr w:type="spellEnd"/>
      <w:r w:rsidRPr="00452F0F">
        <w:t>) применяется лупа.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>Правильность обработки сложных по конфигурации деталей, вырезаемых на стационарных машинах, проверяется накладыванием на них легких шаблонов. Такие детали, как флоры, требующие точности размеров, проверяют и подгоняют по специально изготовленным небольшим контрольным плазам (</w:t>
      </w:r>
      <w:proofErr w:type="spellStart"/>
      <w:r w:rsidRPr="00452F0F">
        <w:t>плазовым</w:t>
      </w:r>
      <w:proofErr w:type="spellEnd"/>
      <w:r w:rsidRPr="00452F0F">
        <w:t xml:space="preserve"> щитам).</w:t>
      </w:r>
    </w:p>
    <w:p w:rsidR="00452F0F" w:rsidRPr="00452F0F" w:rsidRDefault="00452F0F" w:rsidP="00452F0F">
      <w:pPr>
        <w:pStyle w:val="a3"/>
        <w:spacing w:before="0" w:beforeAutospacing="0" w:after="0" w:afterAutospacing="0"/>
        <w:ind w:firstLine="708"/>
        <w:jc w:val="both"/>
      </w:pPr>
      <w:r w:rsidRPr="00452F0F">
        <w:t>Зачищенные и выправленные детали после проверки поступают на дальнейшую обработку или на промежуточный склад для комплектования и отправки на сборку и сварку.</w:t>
      </w:r>
    </w:p>
    <w:p w:rsidR="00452F0F" w:rsidRPr="00452F0F" w:rsidRDefault="00452F0F" w:rsidP="00452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2A7" w:rsidRDefault="002202A7" w:rsidP="00452F0F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37" w:rsidRDefault="00441137" w:rsidP="00452F0F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для определения дефектов после реза.</w:t>
      </w:r>
    </w:p>
    <w:p w:rsidR="00441137" w:rsidRDefault="00441137" w:rsidP="00452F0F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43135" cy="2532891"/>
            <wp:effectExtent l="19050" t="0" r="165" b="0"/>
            <wp:docPr id="11" name="Рисунок 11" descr="http://www.npprusmet.ru/gallery/1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pprusmet.ru/gallery/174_bi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35" cy="253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37" w:rsidRDefault="00441137" w:rsidP="00452F0F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37" w:rsidRPr="00452F0F" w:rsidRDefault="00441137" w:rsidP="00452F0F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137" w:rsidRPr="00452F0F" w:rsidSect="000E71A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1120D4"/>
    <w:multiLevelType w:val="hybridMultilevel"/>
    <w:tmpl w:val="D68690E2"/>
    <w:lvl w:ilvl="0" w:tplc="6C0EC2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7AF6"/>
    <w:multiLevelType w:val="multilevel"/>
    <w:tmpl w:val="1BB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0E71AF"/>
    <w:rsid w:val="00161298"/>
    <w:rsid w:val="00194736"/>
    <w:rsid w:val="00202425"/>
    <w:rsid w:val="00207360"/>
    <w:rsid w:val="002202A7"/>
    <w:rsid w:val="00237210"/>
    <w:rsid w:val="0041397C"/>
    <w:rsid w:val="00430ABC"/>
    <w:rsid w:val="00441137"/>
    <w:rsid w:val="00452F0F"/>
    <w:rsid w:val="0048070C"/>
    <w:rsid w:val="004E2D3E"/>
    <w:rsid w:val="005348F6"/>
    <w:rsid w:val="005359AB"/>
    <w:rsid w:val="005C6346"/>
    <w:rsid w:val="005F0320"/>
    <w:rsid w:val="00612907"/>
    <w:rsid w:val="006656DF"/>
    <w:rsid w:val="006E6F0D"/>
    <w:rsid w:val="007B32D6"/>
    <w:rsid w:val="008172B4"/>
    <w:rsid w:val="00824780"/>
    <w:rsid w:val="00825D59"/>
    <w:rsid w:val="008371CC"/>
    <w:rsid w:val="008622B7"/>
    <w:rsid w:val="0089324F"/>
    <w:rsid w:val="008A37C4"/>
    <w:rsid w:val="00954F2D"/>
    <w:rsid w:val="00960826"/>
    <w:rsid w:val="00A25E19"/>
    <w:rsid w:val="00A73B1B"/>
    <w:rsid w:val="00A9230E"/>
    <w:rsid w:val="00B67D76"/>
    <w:rsid w:val="00BC2E72"/>
    <w:rsid w:val="00C74E04"/>
    <w:rsid w:val="00D025ED"/>
    <w:rsid w:val="00D07AA6"/>
    <w:rsid w:val="00D63D8D"/>
    <w:rsid w:val="00DC3DFC"/>
    <w:rsid w:val="00EF5F76"/>
    <w:rsid w:val="00F07456"/>
    <w:rsid w:val="00F1517E"/>
    <w:rsid w:val="00F645C4"/>
    <w:rsid w:val="00F649B0"/>
    <w:rsid w:val="00F87F90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52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825D59"/>
  </w:style>
  <w:style w:type="character" w:customStyle="1" w:styleId="40">
    <w:name w:val="Заголовок 4 Знак"/>
    <w:basedOn w:val="a0"/>
    <w:link w:val="4"/>
    <w:uiPriority w:val="9"/>
    <w:rsid w:val="00452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categories">
    <w:name w:val="meta_categories"/>
    <w:basedOn w:val="a"/>
    <w:rsid w:val="0045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45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nicinfo.ru/kak-sdelat-pravilnoe-plamya-rezaka-podogrevatelnoe-plama-pri-rezke-nauglerozhivayushhee-plamya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mechanicinfo.ru/kislorodnaya-rezka-metall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echanicinfo.ru/wp-content/uploads/2016/12/2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echanicinfo.ru/wp-content/uploads/2016/12/42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chanicinfo.ru/category/kislorodnaya-rezka-metalla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id308588669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mechanicinfo.ru/wp-content/uploads/2016/12/1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mechanicinfo.ru/kislorodnaya-rezka-metalla/" TargetMode="External"/><Relationship Id="rId14" Type="http://schemas.openxmlformats.org/officeDocument/2006/relationships/hyperlink" Target="http://mechanicinfo.ru/wp-content/uploads/2016/12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2020-03-17T07:00:00Z</dcterms:created>
  <dcterms:modified xsi:type="dcterms:W3CDTF">2020-04-10T04:15:00Z</dcterms:modified>
</cp:coreProperties>
</file>