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420" w:rsidRPr="00466420" w:rsidRDefault="00466420" w:rsidP="00466420">
      <w:pPr>
        <w:shd w:val="clear" w:color="auto" w:fill="FFFFFF"/>
        <w:spacing w:after="193" w:line="227" w:lineRule="atLeast"/>
        <w:outlineLvl w:val="1"/>
        <w:rPr>
          <w:rFonts w:ascii="Arial" w:eastAsia="Times New Roman" w:hAnsi="Arial" w:cs="Arial"/>
          <w:b/>
          <w:bCs/>
          <w:color w:val="4D4D4D"/>
          <w:sz w:val="20"/>
          <w:szCs w:val="20"/>
        </w:rPr>
      </w:pPr>
      <w:r w:rsidRPr="00466420">
        <w:rPr>
          <w:rFonts w:ascii="Arial" w:eastAsia="Times New Roman" w:hAnsi="Arial" w:cs="Arial"/>
          <w:b/>
          <w:bCs/>
          <w:color w:val="4D4D4D"/>
          <w:sz w:val="20"/>
          <w:szCs w:val="20"/>
        </w:rPr>
        <w:t> (Министерство транспорта РФ) от 12 января 2018 г. №10 "ОБ УТВЕРЖДЕНИИ ТРЕБОВАНИЙ К ОРГАНИЗАЦИИ ДВИЖЕНИЯ ПО АВТОМОБИЛЬНЫМ ДОРОГАМ ТЯЖЕЛОВЕСНОГО И (ИЛИ) КРУПНОГАБАРИТНОГО ТРАНСПОРТНОГО СРЕДСТВА"</w:t>
      </w:r>
    </w:p>
    <w:p w:rsidR="00466420" w:rsidRPr="00466420" w:rsidRDefault="00466420" w:rsidP="00466420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333333"/>
          <w:sz w:val="16"/>
          <w:szCs w:val="16"/>
        </w:rPr>
      </w:pPr>
      <w:r w:rsidRPr="00466420">
        <w:rPr>
          <w:rFonts w:ascii="Arial" w:eastAsia="Times New Roman" w:hAnsi="Arial" w:cs="Arial"/>
          <w:color w:val="333333"/>
          <w:sz w:val="16"/>
          <w:szCs w:val="16"/>
        </w:rPr>
        <w:t>3 мая 2018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bookmarkStart w:id="0" w:name="0"/>
      <w:bookmarkEnd w:id="0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В соответствии с частью 3 статьи 31 Федерального закона от 8 ноября 2007 г. № 257-ФЗ "Об автомобильных дорогах и о дорожной деятельности в Российской Федерации и отнесении изменений в отдельные законодательные акты Российской Федерации" (Собрание законодательства Российской Федерации, 2007, № 46, ст. 5553; 2008, № 20, ст. 2251; № 30, ст. 3597; № 49, ст. 5744;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2009, № 29, ст. 3582; № 39, ст. 4532; № 52, ст. 6427; 2010, № 45, ст. 5753; № 51, ст. 6810; 2011, № 7, ст. 901; № 15, ст. 2041; № 17, ст. 2310; № 29, ст. 4284; № 30, ст. 4590, 4591; № 49, ст. 7015; 2012, № 26, ст. 3447; № 50, ст. 6967; 2013, № 14, ст. 1652; № 30, ст. 4083;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№ 52, ст. 7003; 2014, № 6, ст. 566; № 22, ст. 2770; № 26, ст. 3377; № 43, ст. 5795; 2015, № 1, ст. 72; № 29, ст. 4350, 4359, 4374; № 48, ст. 6723; № 51, ст. 7249; 2016, № 1, ст. 74; № 7, ст. 914; № 15, ст. 2066; № 27, ст. 4190, 4294; 2017, № 7, ст. 1028) приказываю: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1. Утвердить прилагаемые Требования к организации движения по автомобильным дорогам тяжеловесного и (или) крупногабаритного транспортного средства.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2.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Внести изменения в Правила обеспечения безопасности перевозок пассажиров и грузов автомобильным транспортом и городским наземным электрическим транспортом, утвержденные приказом Минтранса России от 15 января 2014 г. № 7 (зарегистрирован Минюстом России 5 июня 2014 г., регистрационный № 32585), с изменениями, внесенными приказом Минтранса России от 10 марта 2016 г. № 53 (зарегистрирован Минюстом России 30 мая 2016 г., регистрационный № 42349) и от 5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сентября 2016 г. № 262 (зарегистрирован Минюстом России 15 декабря 2016 г., регистрационный № 44750), признав пункты 30, 31, 51 - 60 и приложение № 1 утратившими силу.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0"/>
        <w:gridCol w:w="1540"/>
      </w:tblGrid>
      <w:tr w:rsidR="00466420" w:rsidRPr="00466420" w:rsidTr="00466420">
        <w:tc>
          <w:tcPr>
            <w:tcW w:w="2500" w:type="pct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Министр</w:t>
            </w:r>
          </w:p>
        </w:tc>
        <w:tc>
          <w:tcPr>
            <w:tcW w:w="2500" w:type="pct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М.Ю. Соколов</w:t>
            </w:r>
          </w:p>
        </w:tc>
      </w:tr>
    </w:tbl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Зарегистрировано в Минюсте РФ 27 апреля 2018 г.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Регистрационный № 50940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УТВЕРЖДЕНЫ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</w:r>
      <w:hyperlink r:id="rId5" w:anchor="0" w:history="1">
        <w:r w:rsidRPr="00466420">
          <w:rPr>
            <w:rFonts w:ascii="Arial" w:eastAsia="Times New Roman" w:hAnsi="Arial" w:cs="Arial"/>
            <w:color w:val="808080"/>
            <w:sz w:val="17"/>
            <w:u w:val="single"/>
          </w:rPr>
          <w:t>приказом</w:t>
        </w:r>
      </w:hyperlink>
      <w:r w:rsidRPr="00466420">
        <w:rPr>
          <w:rFonts w:ascii="Arial" w:eastAsia="Times New Roman" w:hAnsi="Arial" w:cs="Arial"/>
          <w:color w:val="333333"/>
          <w:sz w:val="17"/>
          <w:szCs w:val="17"/>
        </w:rPr>
        <w:t> Минтранса России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  <w:t>от 12 января 2018 г. № 10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Требования к организации движения по автомобильным дорогам тяжеловесного и (или) крупногабаритного транспортного средства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I. Общие положения</w:t>
      </w:r>
    </w:p>
    <w:p w:rsid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1.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Требования к организации движения по автомобильным дорогам тяжеловесного и (или) крупногабаритного транспортного средства разработаны в соответствии с частью 3 статьи 31 Федерального закона от 8 ноября 2007 г. № 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(далее - Требования) и устанавливают требования к тяжеловесному и (или) крупногабаритному транспортному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средству, к перевозке груза, размещению и креплению груза на тяжеловесном и (или) крупногабаритном транспортном средстве, к автомобилям прикрытия, осуществляющим сопровождение крупногабаритного транспортного средства, к организации движения и обеспечению безопасности дорожного движения перед началом и при движении тяжеловесного и (или) крупногабаритного транспортного средства.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2. Движение тяжеловесного и (или) крупногабаритного транспортного средства по автомобильным дорогам Российской Федерации осуществляется при наличии специального разрешения в соответствии с законодательством Российской Федерации о дорожной деятельности, о безопасности дорожного движения, об автомобильном транспорте и настоящими Требованиями.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II. Требования к тяжеловесному и (или) крупногабаритному транспортному средству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3. Тяжеловесное и (или) крупногабаритное транспортное средство должно соответствовать требованиям Технического регламента Таможенного союза "О безопасности колесных транспортных средств" (TP ТС 018/2011)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, Правил дорожного движения</w:t>
      </w: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2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> и нормативных документов Российской Федерации, устанавливающих порядок допуска транспортных средств к эксплуатации и обязанности должностных лиц по обеспечению безопасности дорожного движения.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4. Технические характеристики тяжеловесного и (или) крупногабаритного транспортного средства должны быть подтверждены паспортом транспортного средства, одобрением типа транспортного средства и свидетельством о безопасности конструкции транспортного средства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3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(далее - техническая документация транспортного средства).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5. При перевозке грузов тяжеловесными и (или) крупногабаритными транспортными средствами необходимо использовать транспортные средства, предназначенные для перевозки в соответствии с технической документацией транспортного средства.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6. Не допускается движение тяжеловесного и (или) крупногабаритного транспортного средства, если масса буксируемого тяжеловесного и (или) крупногабаритного прицепа (полуприцепа) превышает технические нормативы тягача, установленные заводом-изготовителем.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7. Тяжеловесное и (или) крупногабаритное транспортное средство должно быть оснащено системой автоматического (аварийного) торможения, которая соответствует требованиям законодательства Российской Федерации о техническом регулировании</w:t>
      </w: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4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>, а также должно иметь не менее двух противооткатных упоров для каждого транспортного средства в целях дополнительной фиксации колес в случае аварийной остановки на уклоне.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8. На тяжеловесном и (или) крупногабаритном транспортном средстве должны быть установлены опознавательные знаки: "автопоезд", "крупногабаритный груз", "длинномерное транспортное средство", "ограничение скорости" согласно приложению № 3 к настоящим Требованиям (в зависимости от габаритов перевозимого груза).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9. Тяжеловесное и (или) крупногабаритное транспортное средство должно быть оборудовано специальными световыми огнями, проблесковыми маячками оранжевого или желтого цвета в соответствии с пунктом 23.4 Правил дорожного движения.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10. Крайние точки (по ширине и длине) крупногабаритного транспортного средства должны быть оборудованы мигающими (проблесковыми) фонарями (сигналами) желтого или оранжевого цвета согласно приложению № 3 к настоящим Требованиям.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11. При длине крупногабаритного транспортного средства свыше 25 м боковые поверхности транспортного средства должны быть оборудованы мигающими (проблесковыми) фонарями (сигналами) желтого или оранжевого цвета с расстоянием между ними 2 м.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12. На кабине тягача крупногабаритного транспортного средства должно быть установлено не менее двух наружных зеркал заднего вида с обеих сторон, которые должны обеспечивать водителю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обзор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как при прямолинейном, так и при криволинейном движении с учетом габаритов транспортного средства и перевозимого груза.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13.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Собственник (владелец) транспортного средства (далее - субъект транспортной деятельности) обязан обеспечить соответствие технического состояния транспортного средства требованиям безопасности дорожного движения и не допускать транспортное средство к эксплуатации при наличии у него неисправностей, предусмотренных приложением к Основным положениям по допуску транспортных средств к эксплуатации и обязанностям должностных лиц по обеспечению безопасности дорожного движения.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5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14. Контроль технического состояния тяжеловесного и (или) крупногабаритного транспортного средства должен обеспечиваться субъектом транспортной деятельности. Сведения о проведенном контроле технического состояния транспортного средства (автопоезда) и месте его проведения фиксируются в путевых листах.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III. Требования к перевозке груза, размещению и креплению на тяжеловесном и (или) крупногабаритном транспортном средстве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15. Размещение и крепление груза на тяжеловесном и (или) крупногабаритном транспортном средстве должно соответствовать схеме размещения и крепления груза, разработанной его производителем или грузоотправителем, с учетом мест расположения крепежных элементов, указанных изготовителем груза.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16. На крупногабаритное транспортное средство с неделимым грузом допускается догружать аналогичные грузы при одновременном выполнении условий: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габаритные параметры крупногабаритного транспортного средства с неделимым грузом и догружаемым аналогичным грузом не превышают габаритные параметры крупногабаритного транспортного средства с неделимым грузом (габаритные параметры крупногабаритного транспортного средства с неделимым грузом до погрузки на него догружаемого аналогичного груза);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весовые параметры крупногабаритного транспортного средства с неделимым грузом и догружаемым аналогичным грузом не превышают допустимые массу и осевые нагрузки транспортного средства, установленные Правилами перевозки грузов автомобильным транспортом</w:t>
      </w: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6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>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17. Способы крепления груза на тяжеловесном и (или) крупногабаритном транспортном средстве определяются в соответствии с требованиями законодательства Российской Федерации</w:t>
      </w: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7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>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18. Водитель тяжеловесного и (или) крупногабаритного транспортного средства обязан проверять исправность крепежных приспособлений груза после приведения их в рабочее состояние перед началом движения, а также контролировать их исправность во время движения.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IV. Требования к автомобилям прикрытия, осуществляющим сопровождение крупногабаритного транспортного средства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19. Для обеспечения безопасности при движении крупногабаритного транспортного средства и информирования других участников дорожного движения о его габаритах используются автомобили прикрытия (приложение № 1 к настоящим Требованиям).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20. На передние, задние и боковые части кузова автомобиля прикрытия должны быть нанесены одинаковые по виду, размеру (шириной от 50 до 150 мм) и размещению светоотражающие полосы желто-оранжевого цвета (приложение № 2 к настоящим Требованиям).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21. Информационные надписи должны быть нанесены на боковые поверхности транспортного средства (допускается нанесение информационных надписей на заднюю часть транспортного средства) и содержать наименование собственника автомобиля прикрытия (рекомендуемый образец приведен в приложении № 2 к настоящим Требованиям).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22. Автомобиль прикрытия должен быть оборудован: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1) двумя проблесковыми маячками желтого или оранжевого цвета (допускается применение проблесковых маячков, конструктивно объединенных в одном корпусе);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2) информационным светоотражающим или внутренним освещением табло желтого цвета размером 1,0 м на 0,5 м с текстом "БОЛЬШАЯ ШИРИНА" или "БОЛЬШАЯ ДЛИНА", выполненным из </w:t>
      </w:r>
      <w:proofErr w:type="spell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световозвращающей</w:t>
      </w:r>
      <w:proofErr w:type="spell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пленки синего цвета с высотой шрифта не менее 14 см;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3) устройством для определения высоты искусственных сооружений и других инженерных коммуникаций.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23. Проблесковый маячок должен устанавливаться на крыше автомобиля прикрытия или над ней. Способы установки проблесковых маячков должны обеспечивать надежность их крепления во всех режимах движения и торможения транспортного средства.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24. Информационное светоотражающее или с внутренним освещением табло должно устанавливаться на крыше автомобиля прикрытия или над ней, за проблесковым маячком по ходу движения или перед проблесковым маячком в случае движения автомобиля прикрытия позади крупногабаритного транспортного средства и использоваться в целях дополнительного информирования участников дорожного движения о габаритных параметрах сопровождаемого транспортного средства: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1) при ширине крупногабаритного транспортного средства свыше 3,5 м - "БОЛЬШАЯ ШИРИНА";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2) при длине крупногабаритного транспортного средства более 25 м и при ширине не более 3,5 м - "БОЛЬШАЯ ДЛИНА";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3) при ширине крупногабаритного транспортного средства свыше 3,5 м и длине более 25 м на автомобиле прикрытия, следующим впереди,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- "БОЛЬШАЯ ШИРИНА", а на автомобиле прикрытия, следующим позади,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- "БОЛЬШАЯ ДЛИНА".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V. Требования к организации движения и обеспечению безопасности дорожного движения перед началом и при движении тяжеловесного и (или) крупногабаритного транспортного средства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25. В случаях, если ширина транспортного средства превышает 5 м или длина транспортного средства превышает 35 м, или если на </w:t>
      </w:r>
      <w:proofErr w:type="spell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двухполосных</w:t>
      </w:r>
      <w:proofErr w:type="spell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автомобильных дорогах при движении крупногабаритного транспортного средства ширина проезжей части для встречного движения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составляет менее 3 м должен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быть разработан проект организации дорожного движения по маршруту или участку маршрута.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26. Проект организации дорожного движения должен содержать следующие сведения: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1) схему и описание маршрута движения;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2) характеристики и параметры транспортных средств, участвующих в движении;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3) расположение автомобилей прикрытия спереди и сзади сопровождаемого транспортного средства;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4) график движения по маршруту с учетом интенсивности дорожного движения;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5) схемы изменения организации дорожного движения и прикрытия автомобилем сопровождения на участках, имеющих ограниченную видимость, и в местах, указанных в графе "Особые условия" специального разрешения на движение по автомобильным дорогам тяжеловесного и (или) крупногабаритного транспортного средства (далее - специальное разрешение)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8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6) порядок проезда сложных участков маршрута (поворотов, перекрестков, железнодорожных переездов, сужений проезжей части, участков с выездом на полосу встречного движения) с нанесенной на схему траекторией дорожного движения;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7) места осуществления контрольных промеров габаритов искусственных сооружений и коммуникаций в процессе дорожного движения;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8) места остановок и стоянок для отдыха и пропуска попутных (встречных) транспортных средств.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Проект организации дорожного движения должен также содержать информацию о необходимости полного или частичного перекрытия движения на участках автомобильной дороги.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27. Сведения, изложенные в проекте организации дорожного движения, должны быть подтверждены фотоматериалами, отражающими реальное состояние объектов дорожной инфраструктуры на момент подачи заявления на получение специального разрешения.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28. Проект организации дорожного движения должен быть оформлен в бумажном виде, сброшюрован с указанием фамилии, имени, отчества (при наличии) и подписи лица, его разработавшего, и заверен печатью (при наличии) организации (для юридических лиц) и подписью индивидуального предпринимателя с проставлением даты.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29. Проект организации дорожного движения представляется в уполномоченный орган по выдаче специального разрешения на движение по автомобильным дорогам тяжеловесного и (или) крупногабаритного транспортного средства (далее - уполномоченный орган) в установленном порядке</w:t>
      </w: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9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>. При необходимости выполнения специального проекта на движение тяжеловесного и (или) крупногабаритного транспортного средства проект организации дорожного движения включается в специальный проект.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30. Специальное разрешение с документами, предусмотренными приказами Минтранса России от 24 июля 2012 г. № 258 и от 21 сентября 2016 г. № 272, и проектом организации дорожного движения направляются в подразделение Госавтоинспекции МВД России, осуществляющее согласование.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31. Водителю тяжеловесного и (или) крупногабаритного транспортного средства запрещается: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1) начинать и осуществлять движение без специального разрешения;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2) начинать и осуществлять движение со специальным разрешением, срок действия которого истек, а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также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если специальное разрешение неправильно оформлено (при отсутствии в специальном разрешении подписей, печатей (при наличии) должностных лиц и уполномоченных органов) и исправлений (при наличии);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3) отклоняться от установленного в специальном разрешении маршрута;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4) превышать указанную в специальном разрешении и на дорожном знаке скорость движения;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5) осуществлять движение во время гололеда, снегопада, а также при метеорологической видимости менее 100 м;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6) двигаться по разделительной полосе, обочине, откосу автомобильной дороги, если такой порядок не определен особыми условиями специального разрешения;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7) останавливаться для отдыха вне специально обозначенных стоянок, расположенных за пределами проезжей части;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8) начинать либо продолжать движение при возникновении технической неисправности транспортного средства, угрожающей безопасности движения, а также при смещении груза либо ослаблении его крепления;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Внесение в специальное разрешение записей и исправлений запрещается.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32. В случае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,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если во время движения тяжеловесного и (или) крупногабаритного транспортного средства возникнут обстоятельства, требующие изменения маршрута движения, субъект транспортной деятельности обязан получить в установленном порядке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10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специальное разрешение на движение по новому маршруту.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33. Движение тяжеловесных и (или) крупногабаритных транспортных средств осуществляется в одиночном порядке. Не допускается движение тяжеловесных и (или) крупногабаритных транспортных средств организованными колоннами.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34. Запрещается передвижение крупногабаритной и (или) тяжеловесной техники на гусеничном ходу на автомобильных дорогах, имеющих покрытие (за исключением грунтовых).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35.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Скорость движения тяжеловесного и (или) крупногабаритного транспортного средства устанавливается уполномоченным органом с учетом сведений, поступивших от владельцев автомобильных дорог и органов управления Госавтоинспекции МВД России, согласовавших маршрут движения тяжеловесного и (или) крупногабаритного транспортного средства, типа транспортного средства, технического состояния участков автомобильных дорог, маршрута, заявленного в специальном разрешении, погодных условий, а также других условий, влияющих на безопасное движение транспортных средств.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36. Необходимость и количество автомобилей прикрытия определяется в соответствии с обязательными условиями использования автомобилей прикрытия, установленными приложением № 1 к настоящим Требованиям.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37. Необходимость участия в сопровождении патрульных автомобилей Госавтоинспекции МВД России определяется органом управления Госавтоинспекции МВД России при согласовании специального разрешения в порядке, установленном законодательством Российской Федерации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11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38. Автомобиль прикрытия должен двигаться: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1) перед сопровождаемым транспортным средством: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на безопасном для движения расстоянии (с учетом установленной скорости движения), уступом с левой стороны по отношению к тяжеловесному и (или) крупногабаритному транспортному средству таким образом, чтобы его габарит по ширине выступал за габарит сопровождаемого транспортного средства;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с информационным светоотражающим или с внутренним освещением табло "БОЛЬШАЯ ШИРИНА" или "БОЛЬШАЯ ДЛИНА", обращенным вперед;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с развернутым устройством для определения высоты искусственных сооружений и других инженерных коммуникаций при высоте транспортного средства с грузом или без груза 4,5 м и более;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2) позади сопровождаемого транспортного средства: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с информационным светоотражающим или с внутренним освещением табло "БОЛЬШАЯ ШИРИНА" или "БОЛЬШАЯ ДЛИНА", обращенным назад.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39. Использование автомобиля прикрытия также необходимо: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позади крупногабаритного транспортного средства в случае, когда свес груза за задний габарит крупногабаритного транспортного средства составляет более 4 м независимо от прочих параметров данного транспортного средства с грузом;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спереди крупногабаритного транспортного средства в случае, когда габаритный параметр крупногабаритного транспортного средства с грузом или без груза по высоте составляет 4,5 м и более.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40. Требования по обеспечению профессиональной компетентности и профессиональной пригодности водителей и специалистов субъекта транспортной деятельности, участвующего в процессе движения тяжеловесного и (или) крупногабаритного транспортного средства, должны соответствовать Перечню мероприятий по подготовке работников, осуществляющих перевозки автомобильным транспортом и городским наземным электрическим транспортом, к безопасной работе.</w:t>
      </w: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12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41. Разрешенное время движения тяжеловесного и (или) крупногабаритного транспортного средства (дни и часы) определяется владельцами автомобильных дорог, инженерных коммуникаций, железнодорожных путей, Госавтоинспекцией МВД России, согласующими специальное разрешение, уполномоченным органом и указывается в специальном разрешении.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------------------------------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 Решение Комиссии Таможенного союза от 9 декабря 2011 г. № 877 "О принятии Технического регламента Таможенного союза "О безопасности колесных транспортных средств" (опубликовано 15 декабря 2011 г. на официальном сайте Евразийской экономической комиссии </w:t>
      </w:r>
      <w:proofErr w:type="spell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www.eurasiancommission.org</w:t>
      </w:r>
      <w:proofErr w:type="spell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в информационно-телекоммуникационной сети "Интернет") (с учетом внесенных изменений) (далее - Технический регламент Таможенного союза).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 Постановление Совета Министров-Правительства Российской Федерации от 23 октября 1993 г. № 1090 "О Правилах дорожного движения" (Собрание законодательства Российской Федерации, 1993, № 47, ст. 4531; 1996; 1998, № 45, ст. 5521; 2000, № 18, ст. 1985; 2001, № 11, ст. 1029; 2002, № 9, ст. 931; № 27, ст. 2693; 2003, № 20, ст. 1899; № 40, ст. 3891;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2005, № 52, ст. 5733; 2006, № 11, ст. 1179; 2008, № 8, ст. 741; № 17, ст. 1882; 2009, № 2, ст. 233; № 5, ст. 610; 2010, № 9, ст. 976; № 20, ст. 2471; 2011, № 42, ст. 5922; 2012, № 1, ст. 154; № 15, ст. 1780; № 30, ст. 4289; № 47, ст. 6505; 2013, № 5, ст. 371, ст. 404;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№ 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24, ст. 2999; № 29, ст. 3966; № 31, ст. 4218; № 52, ст. 7173; 2014, № 14, ст. 1625; № 21, ст. 2707; № 32, ст. 4487; № 38, ст. 5062; № 44, ст. 6063; № 47, ст. 6557; 2015, № 1, ст. 223, № 15, ст. 2276; № 17, ст. 2568; № 27, ст. 4083; № 46, ст. 6376; 2016, № 5, ст. 694;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№ 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23, ст. 3325; № 31, ст. 5018, 5029; № 38, ст. 5553; 2017, № 14, ст. 2070, № 28, ст. 4139, № 30, ст. 4666, № 45, ст. 6658, 6663; 2018, № 1, ст. 359, № 8, ст. 1225) (далее - Правила дорожного движения).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3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Пункт 8 Технического регламента Таможенного союза.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4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Приложение № 8 к Техническому регламенту Таможенного союза.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5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Постановление Совета Министров-Правительства Российской Федерации от 23 октября 1993 г. № 1090 "О Правилах дорожного движения".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6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Постановление Правительства Российской Федерации от 15 апреля 2011 г. № 272 "Об утверждении Правил перевозки грузов автомобильным транспортом" (Собрание законодательства Российской Федерации, 2011, № 17, ст. 2407; 2012, № 10, ст. 1223; 2014, № 3, ст. 281; 2015, № 50, ст. 7162; 2016, № 49, ст. 6901; 2017, № 1, ст. 177, № 51, ст. 7831) (далее - Правила перевозки грузов автомобильным транспортом).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7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 Приказ Минтранса России от 15 января 2014 г. № 7 "Об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 транспортом, к безопасной работе и транспортных средств к безопасной эксплуатации" (зарегистрирован Минюстом России 5 июня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2014 г., регистрационный № 32585) с изменениями, внесенными приказами Минтранса России от 10 марта 2016 г. № 53 (зарегистрирован Минюстом России 30 мая 2016 г., регистрационный № 42349) и от 5 сентября 2016 г. № 262 (зарегистрирован Минюстом России 15 декабря 2016 г., регистрационный № 44750) (далее - приказ Минтранса России от 15 января 2014 г. № 7).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8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Приказ Минтранса России от 24 июля 2012 г. № 258 "Об утверждении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грузов" (зарегистрирован Минюстом России 11 октября 2012 г., регистрационный № 25656) с изменениями, внесенными приказами Минтранса России от 15 января 2014 г. № 7 (зарегистрирован Минюстом России 5 июня 2014 г., регистрационный № 32585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>), от 16 июня 2016 г. № 158 (зарегистрирован Минюстом России 2 августа 2016 г., регистрационный № 43062) и от 21 сентября 2016 г. № 272 (зарегистрирован Минюстом России 21 марта 2017 г., регистрационный № 46064) (далее - приказ Минтранса России от 24 июля 2012 г. № 258).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9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 Приказ Минтранса России от 24 июля 2012 г. № 258; приказ Минтранса России от 21 сентября 2016 г. № 272 "Об утверждении Порядка выдачи специальных разрешений на проезд крупногабаритных транспортных средств и (или) тяжеловесных транспортных средств, масса с грузом или без груза и (или) нагрузка на ось или группу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осей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которых превышают более чем на два процента допустимую массу транспортного средства и (или) допустимую нагрузку на ось или группу осей транспортного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средства, осуществляющих международные автомобильные перевозки грузов, в том числе по постоянным маршрутам, и о внесении изменений в приказ Минтранса России от 24 июня 2012 г. № 258 "Об утверждении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грузов" (зарегистрирован Минюстом России 21 марта 2017 г., регистрационный № 46064) (далее - приказ Минтранса России от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21 сентября 2016 г. № 272).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10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Приказ Минтранса России от 24 июля 2012 г. № 258; приказ Минтранса России от 21 сентября 2016 г. № 272.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proofErr w:type="gramStart"/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11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Постановление Правительства Российской Федерации от 17 января 2007 г. № 20 "Об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инспекции" (Собрание законодательства Российской Федерации, 2007, № 4, ст. 525; 2009, № 8, ст. 971; 2012, № 53, ст. 7931; 2013, № 49, ст. 6443;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2014, № 22, ст. 2885; 2016, № 49, ст. 6914).</w:t>
      </w:r>
      <w:proofErr w:type="gramEnd"/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5"/>
          <w:szCs w:val="15"/>
          <w:vertAlign w:val="superscript"/>
        </w:rPr>
        <w:t>12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t> Приказ Минтранса России от 15 января 2014 г. № 7.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------------------------------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ПРИЛОЖЕНИЕ № 1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  <w:t>к Требованиям (пункты 19 и 36)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Обязательные условия использования автомобилей прикрытия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1"/>
        <w:gridCol w:w="987"/>
        <w:gridCol w:w="457"/>
        <w:gridCol w:w="987"/>
        <w:gridCol w:w="457"/>
        <w:gridCol w:w="419"/>
        <w:gridCol w:w="987"/>
        <w:gridCol w:w="457"/>
        <w:gridCol w:w="419"/>
        <w:gridCol w:w="987"/>
        <w:gridCol w:w="457"/>
        <w:gridCol w:w="987"/>
        <w:gridCol w:w="863"/>
      </w:tblGrid>
      <w:tr w:rsidR="00466420" w:rsidRPr="00466420" w:rsidTr="00466420">
        <w:tc>
          <w:tcPr>
            <w:tcW w:w="0" w:type="auto"/>
            <w:vMerge w:val="restart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обеспечению безопасности дорожного движения</w:t>
            </w:r>
          </w:p>
        </w:tc>
        <w:tc>
          <w:tcPr>
            <w:tcW w:w="0" w:type="auto"/>
            <w:gridSpan w:val="12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Габаритные параметры транспортного средства или транспортного средства с грузом</w:t>
            </w:r>
          </w:p>
        </w:tc>
      </w:tr>
      <w:tr w:rsidR="00466420" w:rsidRPr="00466420" w:rsidTr="00466420">
        <w:tc>
          <w:tcPr>
            <w:tcW w:w="0" w:type="auto"/>
            <w:vMerge/>
            <w:vAlign w:val="center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12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466420" w:rsidRPr="00466420" w:rsidTr="00466420">
        <w:tc>
          <w:tcPr>
            <w:tcW w:w="0" w:type="auto"/>
            <w:vMerge/>
            <w:vAlign w:val="center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3 м</w:t>
            </w:r>
          </w:p>
        </w:tc>
        <w:tc>
          <w:tcPr>
            <w:tcW w:w="0" w:type="auto"/>
            <w:gridSpan w:val="2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от 3 (включительно) до 3,5 м (включительно)</w:t>
            </w:r>
          </w:p>
        </w:tc>
        <w:tc>
          <w:tcPr>
            <w:tcW w:w="0" w:type="auto"/>
            <w:gridSpan w:val="3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3,5 до 4 м (включительно)</w:t>
            </w:r>
          </w:p>
        </w:tc>
        <w:tc>
          <w:tcPr>
            <w:tcW w:w="0" w:type="auto"/>
            <w:gridSpan w:val="3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4 до 4,5 м (включительно)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4,5 до 5 м (включительно)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5 м</w:t>
            </w:r>
          </w:p>
        </w:tc>
      </w:tr>
      <w:tr w:rsidR="00466420" w:rsidRPr="00466420" w:rsidTr="00466420">
        <w:tc>
          <w:tcPr>
            <w:tcW w:w="0" w:type="auto"/>
            <w:vMerge/>
            <w:vAlign w:val="center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12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</w:p>
        </w:tc>
      </w:tr>
      <w:tr w:rsidR="00466420" w:rsidRPr="00466420" w:rsidTr="00466420">
        <w:tc>
          <w:tcPr>
            <w:tcW w:w="0" w:type="auto"/>
            <w:vMerge/>
            <w:vAlign w:val="center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От 25 до 40 м (включительно)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40 м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От 25 до 40 м (включительно)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40 м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25 м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От 25 до 40 м (включительно)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40 м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25 м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От 25 до 40 м (включительно)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40 м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Все длины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Все длины</w:t>
            </w:r>
          </w:p>
        </w:tc>
      </w:tr>
      <w:tr w:rsidR="00466420" w:rsidRPr="00466420" w:rsidTr="00466420"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 прикрытия спереди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Определяется проектом организации </w:t>
            </w: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дорожного движения (пункт 26 Требований)</w:t>
            </w:r>
          </w:p>
        </w:tc>
      </w:tr>
      <w:tr w:rsidR="00466420" w:rsidRPr="00466420" w:rsidTr="00466420"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</w:t>
            </w: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биль прикрытия сзади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42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vAlign w:val="center"/>
            <w:hideMark/>
          </w:tcPr>
          <w:p w:rsidR="00466420" w:rsidRPr="00466420" w:rsidRDefault="00466420" w:rsidP="004664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ПРИЛОЖЕНИЕ № 2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  <w:t>к Требованиям (пункты 20 и 21)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  <w:t>Рекомендуемый образец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4382579" cy="8581589"/>
            <wp:effectExtent l="19050" t="0" r="0" b="0"/>
            <wp:docPr id="1" name="Рисунок 1" descr="https://www.garant.ru/files/9/8/1194789/pict4-718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arant.ru/files/9/8/1194789/pict4-718338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05" cy="858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171946" cy="4842844"/>
            <wp:effectExtent l="19050" t="0" r="0" b="0"/>
            <wp:docPr id="2" name="Рисунок 2" descr="https://www.garant.ru/files/9/8/1194789/pict5-718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rant.ru/files/9/8/1194789/pict5-718338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99" cy="48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ПРИЛОЖЕНИЕ № 3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  <w:t>к Требованиям (пункты 8 и 10)</w:t>
      </w:r>
      <w:r w:rsidRPr="00466420">
        <w:rPr>
          <w:rFonts w:ascii="Arial" w:eastAsia="Times New Roman" w:hAnsi="Arial" w:cs="Arial"/>
          <w:color w:val="333333"/>
          <w:sz w:val="17"/>
          <w:szCs w:val="17"/>
        </w:rPr>
        <w:br/>
        <w:t>Рекомендуемый образец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outlineLvl w:val="2"/>
        <w:rPr>
          <w:rFonts w:ascii="Arial" w:eastAsia="Times New Roman" w:hAnsi="Arial" w:cs="Arial"/>
          <w:b/>
          <w:bCs/>
          <w:color w:val="333333"/>
          <w:sz w:val="19"/>
          <w:szCs w:val="19"/>
        </w:rPr>
      </w:pPr>
      <w:r w:rsidRPr="00466420">
        <w:rPr>
          <w:rFonts w:ascii="Arial" w:eastAsia="Times New Roman" w:hAnsi="Arial" w:cs="Arial"/>
          <w:b/>
          <w:bCs/>
          <w:color w:val="333333"/>
          <w:sz w:val="19"/>
          <w:szCs w:val="19"/>
        </w:rPr>
        <w:t>Обозначение знаками и сигналами крупногабаритного транспортного средства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233980" cy="5133730"/>
            <wp:effectExtent l="19050" t="0" r="4770" b="0"/>
            <wp:docPr id="3" name="Рисунок 3" descr="https://www.garant.ru/files/9/8/1194789/pict6-718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rant.ru/files/9/8/1194789/pict6-718338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17" cy="513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1 - знак "Крупногабаритный груз";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2 - желтые или оранжевые фонари (сигналы), которые могут быть проблесковыми;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3 - желтые или оранжевые фонари (сигналы) и знаки крепятся к транспортному средству или грузу при ширине более 3,5 м;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4 - желтые или оранжевые проблесковые огни используются при движении транспортного средства;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5 - знак "Ограничение скорости" на крупногабаритном и (или) тяжеловесном транспортном средстве со значением допустимой скорости его движения, указанной в специальном разрешении;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6 - знак "Длинномерное транспортное средство" в том случае, если его длина с грузом или без него превышает 20 м, а также на автопоездах с двумя и более прицепами.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6126524" cy="5686739"/>
            <wp:effectExtent l="19050" t="0" r="7576" b="0"/>
            <wp:docPr id="4" name="Рисунок 4" descr="https://www.garant.ru/files/9/8/1194789/pict7-718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arant.ru/files/9/8/1194789/pict7-718338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81" cy="568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1 - знак "Крупногабаритный груз";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2 - желтые или оранжевые фонари (сигналы), которые могут быть проблесковыми;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3 - желтые или оранжевые фонари (сигналы) и знаки крепятся к транспортному средству или грузу при ширине более 3,5 м. При ширине груза более 3 метров, желтых или оранжевых огней должно быть по два с каждой стороны;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4 - желтые или оранжевые проблесковые огни используются при движении транспортного средства;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5 - опознавательный знак "Автопоезд".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5339850" cy="5339850"/>
            <wp:effectExtent l="19050" t="0" r="0" b="0"/>
            <wp:docPr id="5" name="Рисунок 5" descr="https://www.garant.ru/files/9/8/1194789/pict8-718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arant.ru/files/9/8/1194789/pict8-718338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54" cy="53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1 - знак "Крупногабаритный груз";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2 - желтые или оранжевые фонари (сигналы), которые могут быть проблесковыми;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3 - желтые или оранжевые фонари (сигналы) и знаки крепятся к транспортному средству или грузу при ширине более 3,5 м;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4 - желтые или оранжевые проблесковые огни используются одновременно с имеющимися проблесковыми огнями, которые используются на автомобиле прикрытия;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5 - знак "Ограничение скорости" на крупногабаритном и тяжеловесном транспортном средстве с указанием значения допустимой скорости его движения, записанной в разрешении на перевозку;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6 - знак "Длинномерное транспортное средство" в том случае, если длина транспортного средства с грузом или без него превышает 20 м, а также на автопоезде с двумя и более прицепами;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7 - желтые или оранжевые дополнительные огни, которые могут быть проблесковыми, должны быть установлены через каждый метр, когда расстояние между световыми сигналами транспортного средства и крайним опознавательным сигналом груза более метра.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6062400" cy="4003742"/>
            <wp:effectExtent l="19050" t="0" r="0" b="0"/>
            <wp:docPr id="6" name="Рисунок 6" descr="https://www.garant.ru/files/9/8/1194789/pict9-718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arant.ru/files/9/8/1194789/pict9-718338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92" cy="40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1 - знак "Крупногабаритный груз";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2 - желтые или оранжевые фонари (сигналы), которые могут быть проблесковыми;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3 - желтые или оранжевые фонари (сигналы) и знаки крепятся к транспортному средству или грузу. При ширине груза более 3 м желтых или оранжевых огней должно быть по два с каждой стороны;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4 - желтые или оранжевые проблесковые огни используются одновременно с теми, которые есть на автомобиле прикрытия;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5 - желтые или оранжевые дополнительные огни, которые могут быть проблесковыми, должны быть установлены через каждый метр, когда расстояние между световыми сигналами транспортного средства и крайним опознавательным сигналом груза более метра;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6 - опознавательный знак "Автопоезд".</w:t>
      </w:r>
    </w:p>
    <w:p w:rsidR="00466420" w:rsidRPr="00466420" w:rsidRDefault="00466420" w:rsidP="00466420">
      <w:pPr>
        <w:shd w:val="clear" w:color="auto" w:fill="FFFFFF"/>
        <w:spacing w:after="193" w:line="227" w:lineRule="atLeast"/>
        <w:outlineLvl w:val="1"/>
        <w:rPr>
          <w:rFonts w:ascii="Arial" w:eastAsia="Times New Roman" w:hAnsi="Arial" w:cs="Arial"/>
          <w:b/>
          <w:bCs/>
          <w:color w:val="4D4D4D"/>
          <w:sz w:val="20"/>
          <w:szCs w:val="20"/>
        </w:rPr>
      </w:pPr>
      <w:bookmarkStart w:id="1" w:name="review"/>
      <w:bookmarkEnd w:id="1"/>
      <w:r w:rsidRPr="00466420">
        <w:rPr>
          <w:rFonts w:ascii="Arial" w:eastAsia="Times New Roman" w:hAnsi="Arial" w:cs="Arial"/>
          <w:b/>
          <w:bCs/>
          <w:color w:val="4D4D4D"/>
          <w:sz w:val="20"/>
          <w:szCs w:val="20"/>
        </w:rPr>
        <w:t>Обзор документа</w:t>
      </w:r>
    </w:p>
    <w:p w:rsidR="00466420" w:rsidRPr="00466420" w:rsidRDefault="00466420" w:rsidP="00466420">
      <w:pPr>
        <w:spacing w:before="193" w:after="19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420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.55pt" o:hralign="center" o:hrstd="t" o:hrnoshade="t" o:hr="t" fillcolor="#333" stroked="f"/>
        </w:pic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Утверждены Требования к организации движения тяжеловесного и (или) крупногабаритного ТС по автодорогам. Соответствующие нормы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Правил обеспечения безопасности перевозок пассажиров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и грузов автотранспортом и городским наземным электротранспортом при этом признаны утратившими силу.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Указываются требования к ТС, к перевозке груза, размещению и креплению груза на ТС, к автомобилям прикрытия, сопровождающим </w:t>
      </w:r>
      <w:proofErr w:type="gramStart"/>
      <w:r w:rsidRPr="00466420">
        <w:rPr>
          <w:rFonts w:ascii="Arial" w:eastAsia="Times New Roman" w:hAnsi="Arial" w:cs="Arial"/>
          <w:color w:val="333333"/>
          <w:sz w:val="17"/>
          <w:szCs w:val="17"/>
        </w:rPr>
        <w:t>крупногабаритное</w:t>
      </w:r>
      <w:proofErr w:type="gramEnd"/>
      <w:r w:rsidRPr="00466420">
        <w:rPr>
          <w:rFonts w:ascii="Arial" w:eastAsia="Times New Roman" w:hAnsi="Arial" w:cs="Arial"/>
          <w:color w:val="333333"/>
          <w:sz w:val="17"/>
          <w:szCs w:val="17"/>
        </w:rPr>
        <w:t xml:space="preserve"> ТС, к организации движения и обеспечению безопасности дорожного движения перед началом и при движении ТС.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t>Движение ТС осуществляется при наличии специального разрешения. Технические характеристики ТС должны быть подтверждены ПТС, одобрением типа ТС и свидетельством о безопасности конструкции ТС. ТС должно быть оснащено системой автоматического (аварийного) торможения, а также должно иметь не менее двух противооткатных упоров для каждого ТС в целях дополнительной фиксации колес в случае аварийной остановки на уклоне. На ТС должны быть установлены опознавательные знаки: "автопоезд", "крупногабаритный груз", "длинномерное транспортное средство", "ограничение скорости" (в зависимости от габаритов перевозимого груза). ТС должно быть оборудовано специальными световыми огнями, проблесковыми маячками оранжевого или желтого цвета.</w:t>
      </w:r>
    </w:p>
    <w:p w:rsidR="00466420" w:rsidRPr="00466420" w:rsidRDefault="00466420" w:rsidP="00466420">
      <w:p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466420">
        <w:rPr>
          <w:rFonts w:ascii="Arial" w:eastAsia="Times New Roman" w:hAnsi="Arial" w:cs="Arial"/>
          <w:color w:val="333333"/>
          <w:sz w:val="17"/>
          <w:szCs w:val="17"/>
        </w:rPr>
        <w:lastRenderedPageBreak/>
        <w:t>Размещение и крепление груза на ТС должно соответствовать схеме размещения и крепления груза, разработанной его производителем или грузоотправителем, с учетом мест расположения крепежных элементов, указанных изготовителем груза.</w:t>
      </w:r>
    </w:p>
    <w:p w:rsidR="00000000" w:rsidRDefault="00B1560A">
      <w:pPr>
        <w:rPr>
          <w:rFonts w:ascii="Arial" w:hAnsi="Arial" w:cs="Arial"/>
          <w:sz w:val="17"/>
          <w:szCs w:val="17"/>
        </w:rPr>
      </w:pPr>
    </w:p>
    <w:p w:rsidR="00653C70" w:rsidRDefault="00653C70">
      <w:pPr>
        <w:rPr>
          <w:rFonts w:ascii="Arial" w:hAnsi="Arial" w:cs="Arial"/>
          <w:b/>
          <w:sz w:val="17"/>
          <w:szCs w:val="17"/>
        </w:rPr>
      </w:pPr>
    </w:p>
    <w:p w:rsidR="00653C70" w:rsidRDefault="00653C70">
      <w:pPr>
        <w:rPr>
          <w:rFonts w:ascii="Arial" w:hAnsi="Arial" w:cs="Arial"/>
          <w:b/>
          <w:sz w:val="17"/>
          <w:szCs w:val="17"/>
        </w:rPr>
      </w:pPr>
    </w:p>
    <w:p w:rsidR="00653C70" w:rsidRDefault="00466420">
      <w:pPr>
        <w:rPr>
          <w:rFonts w:ascii="Arial" w:hAnsi="Arial" w:cs="Arial"/>
          <w:b/>
          <w:sz w:val="17"/>
          <w:szCs w:val="17"/>
        </w:rPr>
      </w:pPr>
      <w:r w:rsidRPr="00653C70">
        <w:rPr>
          <w:rFonts w:ascii="Arial" w:hAnsi="Arial" w:cs="Arial"/>
          <w:b/>
          <w:sz w:val="17"/>
          <w:szCs w:val="17"/>
        </w:rPr>
        <w:t xml:space="preserve">Вопросы </w:t>
      </w:r>
      <w:r w:rsidR="00B1560A">
        <w:rPr>
          <w:rFonts w:ascii="Arial" w:hAnsi="Arial" w:cs="Arial"/>
          <w:b/>
          <w:sz w:val="17"/>
          <w:szCs w:val="17"/>
        </w:rPr>
        <w:t>по разделам</w:t>
      </w:r>
      <w:r w:rsidRPr="00653C70">
        <w:rPr>
          <w:rFonts w:ascii="Arial" w:hAnsi="Arial" w:cs="Arial"/>
          <w:b/>
          <w:sz w:val="17"/>
          <w:szCs w:val="17"/>
        </w:rPr>
        <w:t xml:space="preserve"> «Особенности организации перевозок крупногабаритных и тяжелов</w:t>
      </w:r>
      <w:r w:rsidR="00653C70" w:rsidRPr="00653C70">
        <w:rPr>
          <w:rFonts w:ascii="Arial" w:hAnsi="Arial" w:cs="Arial"/>
          <w:b/>
          <w:sz w:val="17"/>
          <w:szCs w:val="17"/>
        </w:rPr>
        <w:t>есных грузов»</w:t>
      </w:r>
      <w:r w:rsidR="00B1560A">
        <w:rPr>
          <w:rFonts w:ascii="Arial" w:hAnsi="Arial" w:cs="Arial"/>
          <w:b/>
          <w:sz w:val="17"/>
          <w:szCs w:val="17"/>
        </w:rPr>
        <w:t>, «Порядок организации перевозок крупногабаритных и тяжеловесных грузов»</w:t>
      </w:r>
      <w:r w:rsidR="00653C70" w:rsidRPr="00653C70">
        <w:rPr>
          <w:rFonts w:ascii="Arial" w:hAnsi="Arial" w:cs="Arial"/>
          <w:b/>
          <w:sz w:val="17"/>
          <w:szCs w:val="17"/>
        </w:rPr>
        <w:t>:</w:t>
      </w:r>
    </w:p>
    <w:p w:rsidR="00653C70" w:rsidRDefault="00653C70" w:rsidP="00653C70">
      <w:pPr>
        <w:pStyle w:val="a7"/>
        <w:numPr>
          <w:ilvl w:val="0"/>
          <w:numId w:val="2"/>
        </w:num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 w:rsidRPr="00653C70">
        <w:rPr>
          <w:rFonts w:ascii="Arial" w:eastAsia="Times New Roman" w:hAnsi="Arial" w:cs="Arial"/>
          <w:color w:val="333333"/>
          <w:sz w:val="17"/>
          <w:szCs w:val="17"/>
        </w:rPr>
        <w:t>Назовите основные требования к транспортным средствам, перевозящим крупногабаритные тяжеловесные грузы.</w:t>
      </w:r>
    </w:p>
    <w:p w:rsidR="00653C70" w:rsidRDefault="00653C70" w:rsidP="00653C70">
      <w:pPr>
        <w:pStyle w:val="a7"/>
        <w:numPr>
          <w:ilvl w:val="0"/>
          <w:numId w:val="2"/>
        </w:num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t>Какие организации выполняют сопровождение крупногабаритных тяжеловесных грузов?</w:t>
      </w:r>
    </w:p>
    <w:p w:rsidR="00653C70" w:rsidRDefault="00653C70" w:rsidP="00653C70">
      <w:pPr>
        <w:pStyle w:val="a7"/>
        <w:numPr>
          <w:ilvl w:val="0"/>
          <w:numId w:val="2"/>
        </w:num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t>Назовите основные требования к автомобильным дорогам, по которым осуществляется перевозки крупногабаритных тяжеловесных грузов.</w:t>
      </w:r>
    </w:p>
    <w:p w:rsidR="00653C70" w:rsidRDefault="00653C70" w:rsidP="00653C70">
      <w:pPr>
        <w:pStyle w:val="a7"/>
        <w:numPr>
          <w:ilvl w:val="0"/>
          <w:numId w:val="2"/>
        </w:num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t>Назовите перечень необходимой сопроводительной документации при перевозке грузов.</w:t>
      </w:r>
    </w:p>
    <w:p w:rsidR="00653C70" w:rsidRDefault="00653C70" w:rsidP="00653C70">
      <w:pPr>
        <w:pStyle w:val="a7"/>
        <w:numPr>
          <w:ilvl w:val="0"/>
          <w:numId w:val="2"/>
        </w:num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t xml:space="preserve">Какие лица считаются ответственными при перевозке </w:t>
      </w:r>
      <w:r w:rsidR="00B1560A">
        <w:rPr>
          <w:rFonts w:ascii="Arial" w:eastAsia="Times New Roman" w:hAnsi="Arial" w:cs="Arial"/>
          <w:color w:val="333333"/>
          <w:sz w:val="17"/>
          <w:szCs w:val="17"/>
        </w:rPr>
        <w:t>крупногабаритных тяжеловесных грузов?</w:t>
      </w:r>
    </w:p>
    <w:p w:rsidR="00B1560A" w:rsidRDefault="00B1560A" w:rsidP="00653C70">
      <w:pPr>
        <w:pStyle w:val="a7"/>
        <w:numPr>
          <w:ilvl w:val="0"/>
          <w:numId w:val="2"/>
        </w:numPr>
        <w:shd w:val="clear" w:color="auto" w:fill="FFFFFF"/>
        <w:spacing w:after="193" w:line="204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t>Какие сроки действия сопроводительной документации при перевозке грузов?</w:t>
      </w:r>
    </w:p>
    <w:p w:rsidR="00B1560A" w:rsidRPr="00B1560A" w:rsidRDefault="00B1560A" w:rsidP="00B1560A">
      <w:pPr>
        <w:shd w:val="clear" w:color="auto" w:fill="FFFFFF"/>
        <w:spacing w:after="193" w:line="204" w:lineRule="atLeast"/>
        <w:ind w:left="360"/>
        <w:rPr>
          <w:rFonts w:ascii="Arial" w:eastAsia="Times New Roman" w:hAnsi="Arial" w:cs="Arial"/>
          <w:color w:val="333333"/>
          <w:sz w:val="17"/>
          <w:szCs w:val="17"/>
        </w:rPr>
      </w:pPr>
    </w:p>
    <w:p w:rsidR="00653C70" w:rsidRPr="00653C70" w:rsidRDefault="00653C70" w:rsidP="00653C70">
      <w:pPr>
        <w:rPr>
          <w:rFonts w:ascii="Arial" w:hAnsi="Arial" w:cs="Arial"/>
          <w:sz w:val="17"/>
          <w:szCs w:val="17"/>
        </w:rPr>
      </w:pPr>
    </w:p>
    <w:sectPr w:rsidR="00653C70" w:rsidRPr="00653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E618C"/>
    <w:multiLevelType w:val="hybridMultilevel"/>
    <w:tmpl w:val="0F44F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5B408B"/>
    <w:multiLevelType w:val="hybridMultilevel"/>
    <w:tmpl w:val="1C00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466420"/>
    <w:rsid w:val="00466420"/>
    <w:rsid w:val="00653C70"/>
    <w:rsid w:val="00B15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6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664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642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664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6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left">
    <w:name w:val="toleft"/>
    <w:basedOn w:val="a"/>
    <w:rsid w:val="0046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664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42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53C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161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arant.ru/products/ipo/prime/doc/71833822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4633</Words>
  <Characters>26411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3</cp:revision>
  <dcterms:created xsi:type="dcterms:W3CDTF">2020-03-24T11:47:00Z</dcterms:created>
  <dcterms:modified xsi:type="dcterms:W3CDTF">2020-03-24T12:12:00Z</dcterms:modified>
</cp:coreProperties>
</file>