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Группа 2-4 БФ</w:t>
      </w:r>
    </w:p>
    <w:p w:rsidR="005348F6" w:rsidRPr="005348F6" w:rsidRDefault="00EF5F7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ОУД.11 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>Экономика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CA5C3A" w:rsidRDefault="00CA5C3A" w:rsidP="0058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урока: Международная торговля и мировой рынок. Международное разделение труда. Элементы теории сравнительных преимуществ.</w:t>
      </w:r>
    </w:p>
    <w:p w:rsidR="00202425" w:rsidRPr="0058437F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710D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Сдать до </w:t>
      </w:r>
      <w:r w:rsidR="00CA5C3A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DD762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0D97" w:rsidRDefault="00202425" w:rsidP="001B4A4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="001B4A49">
        <w:rPr>
          <w:rFonts w:ascii="Times New Roman" w:hAnsi="Times New Roman" w:cs="Times New Roman"/>
          <w:b/>
          <w:i/>
          <w:sz w:val="28"/>
          <w:szCs w:val="28"/>
        </w:rPr>
        <w:t>кционный ма</w:t>
      </w:r>
      <w:r w:rsidR="00976E54">
        <w:rPr>
          <w:rFonts w:ascii="Times New Roman" w:hAnsi="Times New Roman" w:cs="Times New Roman"/>
          <w:b/>
          <w:i/>
          <w:sz w:val="28"/>
          <w:szCs w:val="28"/>
        </w:rPr>
        <w:t>териал: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D0DE7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D0DE7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DE7">
        <w:rPr>
          <w:rFonts w:ascii="Times New Roman" w:hAnsi="Times New Roman" w:cs="Times New Roman"/>
          <w:b/>
          <w:bCs/>
          <w:sz w:val="24"/>
          <w:szCs w:val="24"/>
        </w:rPr>
        <w:t xml:space="preserve">Мировой рынок и международная торговля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DE7">
        <w:rPr>
          <w:rFonts w:ascii="Times New Roman" w:hAnsi="Times New Roman" w:cs="Times New Roman"/>
          <w:b/>
          <w:bCs/>
          <w:sz w:val="24"/>
          <w:szCs w:val="24"/>
        </w:rPr>
        <w:t xml:space="preserve">1. Общая характеристика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Появление крупной машинной индустрии определяет резкий рост мировых внешнеторговых связей. Все больше сырья, топлива, материалов, емких товарных рынков необходимо промышленности.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 экономике из-за влияния технологической революции, в специализации и кооперации промышленного производства индустриальных стран происходят структурные сдвиги, которые усиливают взаимодействия национальных хозяйств. Значительную роль в мировом хозяйстве стали играть транснациональные корпорации.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Они захватывают все большую долю мирового рынка, на которую приходится увеличивающаяся часть товарообменных потоков.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Предприятия стран ориентируют производство своих товаров теперь не только на местные и национальные рынки, но и на мировые, осуществляют крупносерийное, массовое производство, уменьшая издержки и на неизменный капитал.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Чтобы международная торговля была выгодной для всех ее участников, должна выработаться наиболее действенная для каждой страны структура экспорта и импорта. Такая эффективность </w:t>
      </w:r>
      <w:proofErr w:type="gramStart"/>
      <w:r w:rsidRPr="001D0DE7">
        <w:rPr>
          <w:rFonts w:ascii="Times New Roman" w:hAnsi="Times New Roman" w:cs="Times New Roman"/>
          <w:sz w:val="24"/>
          <w:szCs w:val="24"/>
        </w:rPr>
        <w:t>обусловливается</w:t>
      </w:r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прежде всего адекватной системой мировых цен и международных расчетов.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Можно отметить, что в международной торговле доминируют экспортно-импортные операции. Внешнеторговый оборот отдельно взятой страны собирает сумму экспорта и импорта. Стоимость экспорта в мировом масштабе сопоставима с оборотом мировой торговли.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b/>
          <w:bCs/>
          <w:sz w:val="24"/>
          <w:szCs w:val="24"/>
        </w:rPr>
        <w:t xml:space="preserve">Экспорт </w:t>
      </w:r>
      <w:r w:rsidRPr="001D0DE7">
        <w:rPr>
          <w:rFonts w:ascii="Times New Roman" w:hAnsi="Times New Roman" w:cs="Times New Roman"/>
          <w:sz w:val="24"/>
          <w:szCs w:val="24"/>
        </w:rPr>
        <w:t xml:space="preserve">– это вывоз за границу товаров, услуг, технологий для того, чтобы реализовать их на внешнем рынке. Предметами экспорта являются не только произведенные в стране товары, но и товары, ввезенные в страну и переработанные в ней. Своеобразной формой экспорта выступает реэкспорт, т. е. вывоз уже ранее ввезенных товаров, которые не подверглись переработке в данной стране.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b/>
          <w:bCs/>
          <w:sz w:val="24"/>
          <w:szCs w:val="24"/>
        </w:rPr>
        <w:t xml:space="preserve">Импорт </w:t>
      </w:r>
      <w:r w:rsidRPr="001D0DE7">
        <w:rPr>
          <w:rFonts w:ascii="Times New Roman" w:hAnsi="Times New Roman" w:cs="Times New Roman"/>
          <w:sz w:val="24"/>
          <w:szCs w:val="24"/>
        </w:rPr>
        <w:t xml:space="preserve">– это, наоборот, ввоз товаров, услуг, технологий для реализации их на внутреннем рынке </w:t>
      </w:r>
      <w:proofErr w:type="gramStart"/>
      <w:r w:rsidRPr="001D0D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вдобавок для транзита в третьи страны.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Формой импорта является реимпорт – объем импорта, включающий обратный ввоз из-за границы не подвергшихся переработке отечественных товаров.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Международную торговлю можно представить как форму взаимоотношения между товаропроизводителями различных хозяйств, завязывающихся на основе международного разделения труда.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Другими словами, </w:t>
      </w:r>
      <w:r w:rsidRPr="001D0DE7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международная торговля </w:t>
      </w:r>
      <w:r w:rsidRPr="001D0DE7">
        <w:rPr>
          <w:rFonts w:ascii="Times New Roman" w:hAnsi="Times New Roman" w:cs="Times New Roman"/>
          <w:sz w:val="24"/>
          <w:szCs w:val="24"/>
        </w:rPr>
        <w:t xml:space="preserve">– это совокупный оплачиваемый товарооборот между всеми государствами мира.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Но термин «международная торговля» используется и в более ограниченном значении. Это, например, совокупный товарооборот развивающихся стран, совокупный товарооборот промышленно развитых стран, совокупный товарооборот стран какого-либо региона и т. д.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Во внешнеэкономической деятельности каждая страна проводит свою внешнеторговую политику, являющуюся одной из составляющих экономической политики государства.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Внешнеторговая политика главным образом направлена на регулирование и развитие торговых связей с другими странами, группами стран для утверждения позиций страны на мировом рынке, она осуществляет решение ряда экономических проблем. В состав внешнеторговой политики входит стратегия и инструменты ее реализации.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lastRenderedPageBreak/>
        <w:t xml:space="preserve">Внешнеторговая политика государства должна учитывать тенденции формирования мировой торговли, обстановку на внутреннем рынке страны.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Вследствие этого она включает в себя две тенденции: протекционизм и либерализацию.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i/>
          <w:iCs/>
          <w:sz w:val="24"/>
          <w:szCs w:val="24"/>
        </w:rPr>
        <w:t xml:space="preserve">Протекционизм </w:t>
      </w:r>
      <w:r w:rsidRPr="001D0DE7">
        <w:rPr>
          <w:rFonts w:ascii="Times New Roman" w:hAnsi="Times New Roman" w:cs="Times New Roman"/>
          <w:sz w:val="24"/>
          <w:szCs w:val="24"/>
        </w:rPr>
        <w:t xml:space="preserve">представляет собой политику, которая устремлена на охрану национальных производителей на внутреннем и внешнем рынках от заграничной конкуренции, их поощрение.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i/>
          <w:iCs/>
          <w:sz w:val="24"/>
          <w:szCs w:val="24"/>
        </w:rPr>
        <w:t xml:space="preserve">Либерализация </w:t>
      </w:r>
      <w:r w:rsidRPr="001D0DE7">
        <w:rPr>
          <w:rFonts w:ascii="Times New Roman" w:hAnsi="Times New Roman" w:cs="Times New Roman"/>
          <w:sz w:val="24"/>
          <w:szCs w:val="24"/>
        </w:rPr>
        <w:t xml:space="preserve">– это политика, суть которой заключается в том, что страны осуществляют принцип свободы торговли (государства отказываются от непосредственного влияния на внешнюю торговлю).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Такая политика реализовывается в соответствии с международным разделением труда и сравнительными преимуществами страны.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Разнообразная внешнеторговая деятельность делится по товарной специализации на: торговлю готовой продукцией, торговлю сырьем, торговлю машинами и оборудованием, торговлю услугами.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 международной практике определены следующие основные понятия.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i/>
          <w:iCs/>
          <w:sz w:val="24"/>
          <w:szCs w:val="24"/>
        </w:rPr>
        <w:t xml:space="preserve">Сырьевые товары </w:t>
      </w:r>
      <w:r w:rsidRPr="001D0DE7">
        <w:rPr>
          <w:rFonts w:ascii="Times New Roman" w:hAnsi="Times New Roman" w:cs="Times New Roman"/>
          <w:sz w:val="24"/>
          <w:szCs w:val="24"/>
        </w:rPr>
        <w:t xml:space="preserve">– продукты сельского хозяйства, лесного хозяйства, рыболовства и охоты или любые полезные ископаемые, стоимость которых лишь в незначительной степени зависит от обработки.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i/>
          <w:iCs/>
          <w:sz w:val="24"/>
          <w:szCs w:val="24"/>
        </w:rPr>
        <w:t xml:space="preserve">Полуфабрикаты </w:t>
      </w:r>
      <w:r w:rsidRPr="001D0DE7">
        <w:rPr>
          <w:rFonts w:ascii="Times New Roman" w:hAnsi="Times New Roman" w:cs="Times New Roman"/>
          <w:sz w:val="24"/>
          <w:szCs w:val="24"/>
        </w:rPr>
        <w:t xml:space="preserve">– продукты, требующие дальнейшей обработки или включенные в состав других товаров прежде, чем они стали орудием производства или предметом потребления.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i/>
          <w:iCs/>
          <w:sz w:val="24"/>
          <w:szCs w:val="24"/>
        </w:rPr>
        <w:t xml:space="preserve">Готовые изделия </w:t>
      </w:r>
      <w:r w:rsidRPr="001D0DE7">
        <w:rPr>
          <w:rFonts w:ascii="Times New Roman" w:hAnsi="Times New Roman" w:cs="Times New Roman"/>
          <w:sz w:val="24"/>
          <w:szCs w:val="24"/>
        </w:rPr>
        <w:t xml:space="preserve">– все промышленные изделия, предназначенные для потребления и использования в домашнем хозяйстве, а также капитальное оборудование для промышленности, сельского хозяйства и транспорта, промышленные товары недлительного пользования, применяемые в промышленности в качестве материалов и топлива.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Готовые промышленные товары краткосрочного пользования, предназначенные для промышленности, – товары со сроком пользования 1 год и менее.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Готовые изделия длительного пользования – изделия со сроком потребления свыше 1 года, предназначенные для промышленности, государственных и частных учреждений, которые классифицируются как капитальное оборудование, кроме оружия, классифицируемого как товары, не отнесенные к другим категориям.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Потребительские товары (непищевые) недлительного пользования – товары со сроком потребления один год и менее, включая товары, используемые государственными и частными учреждениями.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Товары среднесрочного пользования – товары со сроком пользования от 1 года до 3 лет и с относительно низкой стоимостью.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Товары длительного пользования – товары со сроком пользования свыше 3 лет, а также товары со сроком пользования от 1 года до 3 лет, но с высокой стоимостью.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Мировой товарооборот определяется как совместный экспорт всех стран мира.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Сальдо торгового баланса представляет собой разность между стоимостью импорта и экспорта. В том случае, если соотношение формируется в пользу экспорта, торговый баланс активный, а сальдо – положительное.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А если стоимость импорта превосходит стоимость экспорта, то торговый баланс пассивный, а его сальдо – отрицательное (со знаком</w:t>
      </w:r>
      <w:proofErr w:type="gramStart"/>
      <w:r w:rsidRPr="001D0DE7">
        <w:rPr>
          <w:rFonts w:ascii="Times New Roman" w:hAnsi="Times New Roman" w:cs="Times New Roman"/>
          <w:sz w:val="24"/>
          <w:szCs w:val="24"/>
        </w:rPr>
        <w:t xml:space="preserve"> «—»). </w:t>
      </w:r>
      <w:proofErr w:type="gramEnd"/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Мировой рынок сложился к началу XXI столетия. Это стало следствием длительного развертывания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интернационализационных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процессов экономической жизни на основе обострения международного разделения труда.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Современный мировой рынок сложился в процессе продолжительного исторического развития на базе внутренних рынков некоторых (в основном) ведущих государств. Рыночные взаимоотношения этих стран понемногу выходили за национально-государственные рамки.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b/>
          <w:bCs/>
          <w:sz w:val="24"/>
          <w:szCs w:val="24"/>
        </w:rPr>
        <w:t xml:space="preserve">Мировой рынок </w:t>
      </w:r>
      <w:r w:rsidRPr="001D0DE7">
        <w:rPr>
          <w:rFonts w:ascii="Times New Roman" w:hAnsi="Times New Roman" w:cs="Times New Roman"/>
          <w:sz w:val="24"/>
          <w:szCs w:val="24"/>
        </w:rPr>
        <w:t xml:space="preserve">– это поле деятельности стабильных товарно-денежных отношений в общем составе мирового хозяйства, которые основаны на углублении и развитии международного разделения труда и процесса взаимодействие факторов производства между странами. Мировой рынок объединяет все национальные рынки.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На мировом рынке существует определенная классификация товаров: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1) по видам сырья, из которого изготовлен товар;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2) по степени обработки товара;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3) по назначению товара;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4) по месту товара в международной торговле.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Международные организации стараются систематизировать и классифицировать товары, являющиеся предметом международной торговли.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Примером может служить третья редакция Стандартной международной торговой классификац</w:t>
      </w:r>
      <w:proofErr w:type="gramStart"/>
      <w:r w:rsidRPr="001D0DE7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Н (СМТК), принятой в 1986 г.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lastRenderedPageBreak/>
        <w:t xml:space="preserve">Она обусловила следующие классификации десятизначной системы кодирования товаров: «первая цифра кода соответствует товарному разделу, две следующие – товарной группе, две последующие – товарной подгруппе по степени обработки товара, три предпоследние – товарной позиции по назначению товара, три последние – субпозиции по месту товара в международной торговле».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Рынки сырьевых товаров минерального происхождения, рынки готовой продукции, рынки сельскохозяйственных товаров и продовольствия, а также рынки международных услуг являются наиболее значимыми для мировой торговли.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 2005 г. мировая торговля развивалась быстрыми темпами (табл. 1), хотя по сравнению с предыдущим годом они снизились. Например, можно сравнить: если в 2004 г. мировой обмен товарами в сопоставимых ценах увеличился на 10,3 %, то в 2005 г. его прирост составил 7,0 %.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Этот показатель выше среднегодового прироста мировой торговли, прогнозированного МВФ для десятилетия 1997–2006 г. Он составляет 6,6 %. Мировая торговля в 2005 г. вырастает более высокими темпами, чем показатель ВНП по миру в целом (по оценке МВФ – 4,3 %). Импорт и экспорт развивающихся стран в то же время увеличиваются наиболее высокими темпами, чем внешняя торговля развитых стран.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Мировая торговля в текущих ценах составила в 2005 г. по оценкам экспертов МВФ 12589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США (в 2004 г. – 11 150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долларов), увеличившись по стоимости на 12,9 %.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При этом на международный товарообмен приходится 80,6 % (10153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доллаорв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США), а торговля услугами составила 2436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США.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Темпы роста мировых цен на сырье в 2005 г, как и в предыдущие годы значительно превышают темпы роста цен на промышленные изделия.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За период с января по август 2005 г. индекс цен на сырьевые и продовольственные товары в международной торговле, выраженных в американских долларах, составил 29 %. При этом цены на энергетические товары возросли на 41 %.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Продолжающийся рост цен на нефть и нефтепродукты – средняя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спотовая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цена (APSP) на нефть увеличилась на 44 % и превысила отметку в 65 долларов США в начале сентября 2005 г. – связан в первую очередь с повышением спроса и ожиданием недостаточности предложения этого энергоресурса на мировом рынке. В такой ситуации мировые цены на нефть и нефтепродукты стали исключительно чувствительны к краткосрочным изменениям, что было, в частности, продемонстрировано влиянием урагана Катрина, последствия которого – ущерб, нанесенный нефтяной и газовой инфраструктуре в районе Мексиканского залива – вызвали резкий скачок цен.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 связи с сохранением высокого спроса на нефть на мировом рынке и ограниченностью предложения многие аналитики, в том числе и эксперты МВФ, существенно изменили свои оценки и прогнозы роста цен на жидкое топливо в сторону увеличения.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Оценка МВФ APSP на 2005 г. составляет 54,23 долларов США за баррель (в апрельском прогнозе она составляла 46,50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доллаоров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), а прогнозируемая средняя цена на 2006 г. – 61,75 доллара США за баррель (43,75 долларов соответственно).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Напротив, цены на другие виды сырьевых товаров (исключая энергетические) возросли за 9 месяцев 2005 г. всего на 5 %. В этой группе наиболее значительно выросли цены на металлы – на 9 %, что было вызвано связанным с расширением глобальной экономической активности увеличением мирового спроса на них.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DE7">
        <w:rPr>
          <w:rFonts w:ascii="Times New Roman" w:hAnsi="Times New Roman" w:cs="Times New Roman"/>
          <w:b/>
          <w:bCs/>
          <w:sz w:val="24"/>
          <w:szCs w:val="24"/>
        </w:rPr>
        <w:t xml:space="preserve">2. Внешнеэкономические связи России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 первом полугодии 2006 г. замечалось улучшение благоприятной конъюнктуры мировых рынков основных экспортных товаров России.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Этот фактор является главным для сопровождения высоких темпов увеличения поступлений в государственный бюджет, а также реальных доходов населения, инвестиций и многих других показателей.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Оценивая в стоимостном выражении масштабы внешнеэкономической деятельности России, можно отметить, что они достигли в пореформенный период максимального своего уровня.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Рассматривая методологию платежного баланса, можно понять, что внешнеторговый оборот в первом полугодии 2006 г. превысил 166,2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долларов, что на 35 % выше по сравнению с январем—июнем 2004 г.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Вырос вывоз товаров на 39 % (до 112,0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по сравнению с 80,5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долларов, а ввоз товаров увеличился на 28 % до 54,3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с 42,4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соответственно.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Следовательно, в первом полугодии 2006 г. продолжался прирост положительного сальдо торгового баланса – 51 %, а объем чистого экспорта товаров и услуг (51980 млн. долларов) превысил на 60 % соответствующий показатель аналогичного периода 2005 г.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lastRenderedPageBreak/>
        <w:t xml:space="preserve">Стабилизации внутреннего валютного рынка и увеличению устойчивости национальной валюты способствовал дальнейший рост высоких цен на основные товары российского экспорта.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Золотовалютные резервы страны увеличились на 21,7 % – с 124,5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на 1 января 2006 г. до 151,6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к 1 июля 2006 г. в условиях финансовой стабильности.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Скопленного объема золотовалютных резервов достаточно было бы для финансирования импорта товаров и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нефакторных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услуг в течение 12,8 месяца по сравнению с 11,5 месяца на 1 января 2006 г.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К расширению инвестиционной активности привело повышение доходности основополагающих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экспортоориентированных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отраслей.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Прирост инвестиций в основной капитал составил 9,4 % в первом полугодии 2006 г. по сравнению с 12,6 % в аналогичном периоде 2005 г. и был выше прироста производства товаров и услуг за этот период.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DE7">
        <w:rPr>
          <w:rFonts w:ascii="Times New Roman" w:hAnsi="Times New Roman" w:cs="Times New Roman"/>
          <w:sz w:val="24"/>
          <w:szCs w:val="24"/>
        </w:rPr>
        <w:t>Рост капиталовложений не сопровождался внушительными сдвигами в движении структурной перестройки истинного сектора отечественной экономики (55,2 % всех промышленных инвестиций в основной капитал крупных и средних предприятий в первом полугодии 2005 г. направлялось на формирование трех первостепенных экспортных отраслей – топливной, черной и цветной металлургии по сравнению с 59,2 % годом ранее) Капиталовложения на приобретение импортного оборудования российскими компаниями в январе-июне 2005 г. составили</w:t>
      </w:r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22,4 % от общего объема инвестиций в машины, оборудование, инструмент и транспортные средства (23,5 % за первое полугодие 2004 г.).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Увеличение инвестиционного спроса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экспортоориентированных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отраслей содействовало росту производства машиностроительной продукции и строительных материалов, а также росту объемов строительных работ.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Воздействие внешнеэкономических факторов на состояние государственного бюджета оказало в основном благоприятный исход.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Так, на снижение таможенных тарифов общая сумма сбора таможенных платежей достигла 859,6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рублей в первом полугодии 2005 г. против 524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рублей за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январьиюнь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2004 г., составив 38,7 % всех налоговых поступлений в федеральный бюджет. Взносы по внешнему государственному долгу увеличились в январе—марте 2005 г. более чем на 38 % (до 7,97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по сравнению с 5,76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долл. в аналогичном периоде 2004 г.)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Коэффициент обслуживания внешнего долга (отношение объема долговых платежей к экспорту товаров и услуг) практически не изменился и составил 14,1 % в январе—марте 2005 г. против 14,0 % в первом квартале 2004 г., а баланс между фактическими платежами по государственному внешнему долгу и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доходовами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консолидированного бюджета урезалось с 15,8 % до 12,9 %.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Повышение ВВП РФ (5,7 % в первом полугодии 2006 г.) произошло на фоне роста физического объема экспорта товаров на 3,6 %, в то время как в январе—июне 2004 г. ВВП вырос на 7,6 % при увеличении вывоза товаров в натуральном исчислении на 5,5 %.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Урезание прироста физического объема экспорта инициирует уменьшение темпов экономического развития России, несмотря на высокий уровень мировых цен на основные экспортные товары.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Бесспорно, что для дальнейшего роста экспорта топливных и других сырьевых ресурсов необходимо внушительное увеличение капиталовложений в их производство и транспортировку. Прирост производства в реальном секторе в первом полугодии 2006 г. в основном произошел 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засчет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машиностроения – 11,5 %, производства кокса и нефтепродуктов – 5,0 %, а также строительства – 5,8 %.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Однако в то же время во многих крупных экспортно-ориентированных отраслях он отставал от </w:t>
      </w:r>
      <w:proofErr w:type="gramStart"/>
      <w:r w:rsidRPr="001D0DE7">
        <w:rPr>
          <w:rFonts w:ascii="Times New Roman" w:hAnsi="Times New Roman" w:cs="Times New Roman"/>
          <w:sz w:val="24"/>
          <w:szCs w:val="24"/>
        </w:rPr>
        <w:t>общепромышленного</w:t>
      </w:r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(4,0 %), – в основном в топливной промышленности – 2,1 %, химической промышленности – 2,3 %, в металлургии – 1,9 %, в лесной, деревообрабатывающей и целлюлозно-бумажной промышленности – 3,4 %.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В итоге экспорт товаров по методологии платежного баланса поднялся до 112,0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с 80,5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долларов. При этом увеличивается тенденция односторонней зависимости страны от экспорта нефти, нефтепродуктов и природного газа. Их доля в общем экспорте товаров достигла 59,6 % против 55,2 % в первом полугодии 2005 г.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По состоянию на 01.07.06 г внешняя задолженность органов государственного управления, охватывая органы денежно-кредитного регулирования, оценивалась в 100,2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(против 105,6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на 01.01.05 г.) или 43,5 % всего внешнего долга РФ. Задолженность федерального правительства составляла 89,7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против 95,7 </w:t>
      </w:r>
      <w:proofErr w:type="spell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 на 1.01.05 г. 6,9 % иностранных обязательств правительства РФ приходится на задолженность бывшего СССР, включая 42,8 % – на его долги Парижскому клубу.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В заключение рассмотрения данного вопроса можно отметить, что для России вместе с торговлей одной из главных форм мировых экономических отношений служит международное движение капитала. С </w:t>
      </w:r>
      <w:r w:rsidRPr="001D0DE7">
        <w:rPr>
          <w:rFonts w:ascii="Times New Roman" w:hAnsi="Times New Roman" w:cs="Times New Roman"/>
          <w:sz w:val="24"/>
          <w:szCs w:val="24"/>
        </w:rPr>
        <w:lastRenderedPageBreak/>
        <w:t xml:space="preserve">1990-х гг. Россия активно проводит политику обширного сотрудничества в международной финансовой сфере, привлекая и используя внешние ресурсы.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Применение иностранных инвестиций является беспристрастной надобностью, обусловленной системой участия экономики страны в МРТ и переливе капитала в свободные отрасли предпринимательства.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Как подтверждает практика, мировое хозяйство не может результативно развиваться в мировом масштабе без перелива капитала, без его устойчивой миграции. Это объективная надобность и одна из важнейших отличительных черт современного мирового хозяйства.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Россия поставила перед собой цель – интегрирование в мировой рынок. Однако существует «непредвзятость» процессов ввоза импорта в Россию и экспорта капитала из России.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Россия, как и другие страны, рассматривает заграничные инвестиции как факторы: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1) форсирования экономического и технического прогресса;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2) «освежения» и модернизации аппарата производства;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3) усвоение передовых методов организации производства;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4) подготовки кадров, соответствующих требованиям экономического рынка.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По оценке американской компании «Эрнст и Янг» в первые 5–7 лет российской экономике для нормализации нужно привлечь 200–300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долларов. России понадобится около 100–140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Только лишь для одного топливно-энергетического комплекса для того, чтобы преодолеть кризисные явления. Чтобы заменить активную часть производственных фондов модернизированными, необходимо ежегодно привлекать 15–18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долларов. По мнению некоторых российских экспертов, в настоящее время России доведется рассчитывать на более скромный объем иностранного капитала примерно 10 </w:t>
      </w:r>
      <w:proofErr w:type="spellStart"/>
      <w:proofErr w:type="gramStart"/>
      <w:r w:rsidRPr="001D0D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D0DE7">
        <w:rPr>
          <w:rFonts w:ascii="Times New Roman" w:hAnsi="Times New Roman" w:cs="Times New Roman"/>
          <w:sz w:val="24"/>
          <w:szCs w:val="24"/>
        </w:rPr>
        <w:t xml:space="preserve"> долларов.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Необходимо отметить, в каких же формах принимает участие капитал в России.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Иностранный капитал в России преобладает: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1) в государственной форме;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2) в частной форме;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3) в смешанном виде; </w:t>
      </w:r>
    </w:p>
    <w:p w:rsidR="00CA5C3A" w:rsidRPr="001D0DE7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 xml:space="preserve">4) как капитал международных организаций. </w:t>
      </w:r>
    </w:p>
    <w:p w:rsidR="00CA5C3A" w:rsidRPr="00CA5C3A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7">
        <w:rPr>
          <w:rFonts w:ascii="Times New Roman" w:hAnsi="Times New Roman" w:cs="Times New Roman"/>
          <w:sz w:val="24"/>
          <w:szCs w:val="24"/>
        </w:rPr>
        <w:t>В российскую экономику иностранные инвестиции поступают как прямые частные инвестиции и в виде кредитов (как с</w:t>
      </w:r>
      <w:r w:rsidRPr="00CA5C3A">
        <w:rPr>
          <w:rFonts w:ascii="Times New Roman" w:hAnsi="Times New Roman" w:cs="Times New Roman"/>
          <w:sz w:val="24"/>
          <w:szCs w:val="24"/>
        </w:rPr>
        <w:t xml:space="preserve">судный капитал). </w:t>
      </w:r>
    </w:p>
    <w:p w:rsidR="001D0DE7" w:rsidRPr="001D0DE7" w:rsidRDefault="001D0DE7" w:rsidP="001D0DE7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1D0DE7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</w:rPr>
        <w:t>Международное разделение труда</w:t>
      </w:r>
    </w:p>
    <w:p w:rsidR="001D0DE7" w:rsidRDefault="001D0DE7" w:rsidP="001D0DE7">
      <w:pPr>
        <w:pStyle w:val="a3"/>
        <w:spacing w:before="0" w:beforeAutospacing="0" w:after="0" w:afterAutospacing="0"/>
        <w:jc w:val="both"/>
      </w:pPr>
      <w:r>
        <w:t xml:space="preserve">Международное разделение труда (МРТ) – это специализация отдельных стран в производстве тех или иных товаров и услуг в целях их реализации в других странах. </w:t>
      </w:r>
    </w:p>
    <w:p w:rsidR="001D0DE7" w:rsidRDefault="001D0DE7" w:rsidP="001D0DE7">
      <w:pPr>
        <w:pStyle w:val="a3"/>
        <w:spacing w:before="0" w:beforeAutospacing="0" w:after="0" w:afterAutospacing="0"/>
        <w:jc w:val="both"/>
      </w:pPr>
      <w:r>
        <w:t>Изначально специализация той или иной страны определялась географической средой и наличием минеральных ресурсов, которые обусловливали направление ее экспорта: нефть, кофе, бананы и т. д. В дальнейшем, начиная с XIX </w:t>
      </w:r>
      <w:proofErr w:type="gramStart"/>
      <w:r>
        <w:t>в</w:t>
      </w:r>
      <w:proofErr w:type="gramEnd"/>
      <w:r>
        <w:t>. и </w:t>
      </w:r>
      <w:proofErr w:type="gramStart"/>
      <w:r>
        <w:t>по</w:t>
      </w:r>
      <w:proofErr w:type="gramEnd"/>
      <w:r>
        <w:t xml:space="preserve"> сей день, МРТ напрямую связано с техническим прогрессом и уровнем развития в стране производительных сил. </w:t>
      </w:r>
    </w:p>
    <w:p w:rsidR="001D0DE7" w:rsidRDefault="001D0DE7" w:rsidP="001D0DE7">
      <w:pPr>
        <w:pStyle w:val="a3"/>
        <w:spacing w:before="0" w:beforeAutospacing="0" w:after="0" w:afterAutospacing="0"/>
        <w:jc w:val="both"/>
      </w:pPr>
      <w:r>
        <w:t xml:space="preserve">Следующий этап МРТ связан с НТР уже ХХ в., </w:t>
      </w:r>
      <w:proofErr w:type="gramStart"/>
      <w:r>
        <w:t>которая</w:t>
      </w:r>
      <w:proofErr w:type="gramEnd"/>
      <w:r>
        <w:t xml:space="preserve"> определила переход от предметной к </w:t>
      </w:r>
      <w:proofErr w:type="spellStart"/>
      <w:r>
        <w:t>подетальной</w:t>
      </w:r>
      <w:proofErr w:type="spellEnd"/>
      <w:r>
        <w:t xml:space="preserve"> специализации. Например, детали американских телевизоров изготавливаются в Южной Корее, на Тайване и т. п. Для определения доли продукции, производимой на экспорт, применяется специальный показатель – экспортная квота производства. </w:t>
      </w:r>
    </w:p>
    <w:p w:rsidR="00CA5C3A" w:rsidRPr="00CA5C3A" w:rsidRDefault="00CA5C3A" w:rsidP="001D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BD4" w:rsidRPr="00120BD4" w:rsidRDefault="00202425" w:rsidP="00120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BD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CA75A1" w:rsidRPr="00120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25C" w:rsidRDefault="00120BD4" w:rsidP="00120BD4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5C">
        <w:rPr>
          <w:rFonts w:ascii="Times New Roman" w:hAnsi="Times New Roman" w:cs="Times New Roman"/>
          <w:sz w:val="24"/>
          <w:szCs w:val="24"/>
        </w:rPr>
        <w:t>Составить краткий конспект в тетради по лекционному материалу</w:t>
      </w:r>
    </w:p>
    <w:p w:rsidR="001B4A49" w:rsidRPr="000235F7" w:rsidRDefault="001D0DE7" w:rsidP="00120BD4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теорию сравнительных преимуществ.</w:t>
      </w:r>
    </w:p>
    <w:p w:rsidR="000235F7" w:rsidRDefault="000235F7" w:rsidP="00120BD4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Составить таблицу, пользуясь презентацией:</w:t>
      </w:r>
    </w:p>
    <w:tbl>
      <w:tblPr>
        <w:tblStyle w:val="a6"/>
        <w:tblW w:w="0" w:type="auto"/>
        <w:tblInd w:w="360" w:type="dxa"/>
        <w:tblLook w:val="04A0"/>
      </w:tblPr>
      <w:tblGrid>
        <w:gridCol w:w="5202"/>
        <w:gridCol w:w="5206"/>
      </w:tblGrid>
      <w:tr w:rsidR="000235F7" w:rsidTr="000235F7">
        <w:trPr>
          <w:trHeight w:val="264"/>
        </w:trPr>
        <w:tc>
          <w:tcPr>
            <w:tcW w:w="5202" w:type="dxa"/>
          </w:tcPr>
          <w:p w:rsidR="000235F7" w:rsidRDefault="000235F7" w:rsidP="000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5206" w:type="dxa"/>
          </w:tcPr>
          <w:p w:rsidR="000235F7" w:rsidRDefault="000235F7" w:rsidP="000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рынка по его классификации</w:t>
            </w:r>
          </w:p>
        </w:tc>
      </w:tr>
    </w:tbl>
    <w:p w:rsidR="000235F7" w:rsidRPr="000235F7" w:rsidRDefault="000235F7" w:rsidP="000235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0DE7" w:rsidRPr="001D0DE7" w:rsidRDefault="001D0DE7" w:rsidP="001D0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0DE7">
        <w:rPr>
          <w:rFonts w:ascii="Times New Roman" w:hAnsi="Times New Roman" w:cs="Times New Roman"/>
          <w:b/>
          <w:sz w:val="24"/>
          <w:szCs w:val="24"/>
        </w:rPr>
        <w:t>Контрольный</w:t>
      </w:r>
      <w:proofErr w:type="gramEnd"/>
      <w:r w:rsidRPr="001D0DE7">
        <w:rPr>
          <w:rFonts w:ascii="Times New Roman" w:hAnsi="Times New Roman" w:cs="Times New Roman"/>
          <w:b/>
          <w:sz w:val="24"/>
          <w:szCs w:val="24"/>
        </w:rPr>
        <w:t xml:space="preserve"> вопросы:</w:t>
      </w:r>
    </w:p>
    <w:p w:rsidR="00F745C2" w:rsidRDefault="00037DEF" w:rsidP="001D0DE7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важные принципы, на которых строиться многосторонняя торговая система?</w:t>
      </w:r>
    </w:p>
    <w:p w:rsidR="00037DEF" w:rsidRDefault="00037DEF" w:rsidP="001D0DE7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определяются национальные производственные различия?</w:t>
      </w:r>
    </w:p>
    <w:p w:rsidR="00037DEF" w:rsidRPr="001D0DE7" w:rsidRDefault="00037DEF" w:rsidP="001D0DE7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заключалась теория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037DEF" w:rsidRPr="001D0DE7" w:rsidSect="00740D97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B19F0"/>
    <w:multiLevelType w:val="hybridMultilevel"/>
    <w:tmpl w:val="2352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00"/>
    <w:multiLevelType w:val="multilevel"/>
    <w:tmpl w:val="EE1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E5AE2"/>
    <w:multiLevelType w:val="multilevel"/>
    <w:tmpl w:val="A93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B7010"/>
    <w:multiLevelType w:val="hybridMultilevel"/>
    <w:tmpl w:val="FC42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8352B4"/>
    <w:multiLevelType w:val="hybridMultilevel"/>
    <w:tmpl w:val="2ABAAB7E"/>
    <w:lvl w:ilvl="0" w:tplc="B9821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1AF5"/>
    <w:multiLevelType w:val="multilevel"/>
    <w:tmpl w:val="D7F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8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20"/>
  </w:num>
  <w:num w:numId="15">
    <w:abstractNumId w:val="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7"/>
  </w:num>
  <w:num w:numId="21">
    <w:abstractNumId w:val="15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20260"/>
    <w:rsid w:val="000235F7"/>
    <w:rsid w:val="00027B14"/>
    <w:rsid w:val="00037DEF"/>
    <w:rsid w:val="00120BD4"/>
    <w:rsid w:val="00147CAE"/>
    <w:rsid w:val="001B4A49"/>
    <w:rsid w:val="001D0DE7"/>
    <w:rsid w:val="00202425"/>
    <w:rsid w:val="002202A7"/>
    <w:rsid w:val="002F6312"/>
    <w:rsid w:val="00344082"/>
    <w:rsid w:val="0037192F"/>
    <w:rsid w:val="003924F0"/>
    <w:rsid w:val="00430ABC"/>
    <w:rsid w:val="00456473"/>
    <w:rsid w:val="005348F6"/>
    <w:rsid w:val="005359AB"/>
    <w:rsid w:val="0058437F"/>
    <w:rsid w:val="005F0320"/>
    <w:rsid w:val="00710DA9"/>
    <w:rsid w:val="00740D97"/>
    <w:rsid w:val="008371CC"/>
    <w:rsid w:val="008622B7"/>
    <w:rsid w:val="008A37C4"/>
    <w:rsid w:val="00974BE7"/>
    <w:rsid w:val="00976E54"/>
    <w:rsid w:val="009B325C"/>
    <w:rsid w:val="00A25E19"/>
    <w:rsid w:val="00A9230E"/>
    <w:rsid w:val="00BC2E72"/>
    <w:rsid w:val="00C74E04"/>
    <w:rsid w:val="00CA5C3A"/>
    <w:rsid w:val="00CA75A1"/>
    <w:rsid w:val="00D63D8D"/>
    <w:rsid w:val="00DC3DFC"/>
    <w:rsid w:val="00DD7627"/>
    <w:rsid w:val="00EF5F76"/>
    <w:rsid w:val="00F41890"/>
    <w:rsid w:val="00F649B0"/>
    <w:rsid w:val="00F7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D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customStyle="1" w:styleId="paragraph">
    <w:name w:val="paragraph"/>
    <w:basedOn w:val="a"/>
    <w:rsid w:val="009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6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0DE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2020-04-21T00:53:00Z</dcterms:modified>
</cp:coreProperties>
</file>