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37" w:rsidRPr="00F27937" w:rsidRDefault="00F27937" w:rsidP="00F27937">
      <w:pPr>
        <w:shd w:val="clear" w:color="auto" w:fill="FFFFFF"/>
        <w:spacing w:after="144" w:line="362" w:lineRule="atLeast"/>
        <w:jc w:val="center"/>
        <w:outlineLvl w:val="0"/>
        <w:rPr>
          <w:rFonts w:ascii="Arial" w:eastAsia="Times New Roman" w:hAnsi="Arial" w:cs="Arial"/>
          <w:b/>
          <w:bCs/>
          <w:color w:val="333333"/>
          <w:kern w:val="36"/>
          <w:sz w:val="24"/>
          <w:szCs w:val="24"/>
          <w:lang w:eastAsia="ru-RU"/>
        </w:rPr>
      </w:pPr>
      <w:r w:rsidRPr="00F27937">
        <w:rPr>
          <w:rFonts w:ascii="Arial" w:eastAsia="Times New Roman" w:hAnsi="Arial" w:cs="Arial"/>
          <w:b/>
          <w:bCs/>
          <w:color w:val="333333"/>
          <w:kern w:val="36"/>
          <w:sz w:val="24"/>
          <w:szCs w:val="24"/>
          <w:lang w:eastAsia="ru-RU"/>
        </w:rPr>
        <w:t>ПДД РФ, 20. Буксировка механических транспортных средств</w:t>
      </w:r>
    </w:p>
    <w:p w:rsidR="00F27937" w:rsidRPr="00F27937" w:rsidRDefault="00F27937" w:rsidP="00F27937">
      <w:pPr>
        <w:shd w:val="clear" w:color="auto" w:fill="FFFFFF"/>
        <w:spacing w:after="144" w:line="290" w:lineRule="atLeast"/>
        <w:jc w:val="both"/>
        <w:outlineLvl w:val="0"/>
        <w:rPr>
          <w:rFonts w:ascii="Arial" w:eastAsia="Times New Roman" w:hAnsi="Arial" w:cs="Arial"/>
          <w:b/>
          <w:bCs/>
          <w:color w:val="333333"/>
          <w:kern w:val="36"/>
          <w:sz w:val="24"/>
          <w:szCs w:val="24"/>
          <w:lang w:eastAsia="ru-RU"/>
        </w:rPr>
      </w:pPr>
      <w:r w:rsidRPr="00F27937">
        <w:rPr>
          <w:rFonts w:ascii="Arial" w:eastAsia="Times New Roman" w:hAnsi="Arial" w:cs="Arial"/>
          <w:b/>
          <w:bCs/>
          <w:color w:val="333333"/>
          <w:kern w:val="36"/>
          <w:sz w:val="24"/>
          <w:szCs w:val="24"/>
          <w:lang w:eastAsia="ru-RU"/>
        </w:rPr>
        <w:t> </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0" w:name="dst100405"/>
      <w:bookmarkEnd w:id="0"/>
      <w:r w:rsidRPr="00F27937">
        <w:rPr>
          <w:rFonts w:ascii="Arial" w:eastAsia="Times New Roman" w:hAnsi="Arial" w:cs="Arial"/>
          <w:color w:val="333333"/>
          <w:sz w:val="24"/>
          <w:szCs w:val="24"/>
          <w:lang w:eastAsia="ru-RU"/>
        </w:rPr>
        <w:t>20.1. Буксировка на жесткой или гибкой сцепке должна осуществляться только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 w:name="dst100406"/>
      <w:bookmarkEnd w:id="1"/>
      <w:r w:rsidRPr="00F27937">
        <w:rPr>
          <w:rFonts w:ascii="Arial" w:eastAsia="Times New Roman" w:hAnsi="Arial" w:cs="Arial"/>
          <w:color w:val="333333"/>
          <w:sz w:val="24"/>
          <w:szCs w:val="24"/>
          <w:lang w:eastAsia="ru-RU"/>
        </w:rPr>
        <w:t>20.2.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 w:name="dst371"/>
      <w:bookmarkEnd w:id="2"/>
      <w:r w:rsidRPr="00F27937">
        <w:rPr>
          <w:rFonts w:ascii="Arial" w:eastAsia="Times New Roman" w:hAnsi="Arial" w:cs="Arial"/>
          <w:color w:val="333333"/>
          <w:sz w:val="24"/>
          <w:szCs w:val="24"/>
          <w:lang w:eastAsia="ru-RU"/>
        </w:rP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F27937" w:rsidRPr="00F27937" w:rsidRDefault="00F27937" w:rsidP="00F27937">
      <w:pPr>
        <w:shd w:val="clear" w:color="auto" w:fill="FFFFFF"/>
        <w:spacing w:after="0" w:line="290" w:lineRule="atLeast"/>
        <w:jc w:val="both"/>
        <w:rPr>
          <w:rFonts w:ascii="Arial" w:eastAsia="Times New Roman" w:hAnsi="Arial" w:cs="Arial"/>
          <w:color w:val="333333"/>
          <w:sz w:val="24"/>
          <w:szCs w:val="24"/>
          <w:lang w:eastAsia="ru-RU"/>
        </w:rPr>
      </w:pPr>
      <w:r w:rsidRPr="00F27937">
        <w:rPr>
          <w:rFonts w:ascii="Arial" w:eastAsia="Times New Roman" w:hAnsi="Arial" w:cs="Arial"/>
          <w:color w:val="333333"/>
          <w:sz w:val="24"/>
          <w:szCs w:val="24"/>
          <w:lang w:eastAsia="ru-RU"/>
        </w:rPr>
        <w:t>(</w:t>
      </w:r>
      <w:proofErr w:type="gramStart"/>
      <w:r w:rsidRPr="00F27937">
        <w:rPr>
          <w:rFonts w:ascii="Arial" w:eastAsia="Times New Roman" w:hAnsi="Arial" w:cs="Arial"/>
          <w:color w:val="333333"/>
          <w:sz w:val="24"/>
          <w:szCs w:val="24"/>
          <w:lang w:eastAsia="ru-RU"/>
        </w:rPr>
        <w:t>п</w:t>
      </w:r>
      <w:proofErr w:type="gramEnd"/>
      <w:r w:rsidRPr="00F27937">
        <w:rPr>
          <w:rFonts w:ascii="Arial" w:eastAsia="Times New Roman" w:hAnsi="Arial" w:cs="Arial"/>
          <w:color w:val="333333"/>
          <w:sz w:val="24"/>
          <w:szCs w:val="24"/>
          <w:lang w:eastAsia="ru-RU"/>
        </w:rPr>
        <w:t>. 20.2(1) введен </w:t>
      </w:r>
      <w:hyperlink r:id="rId5" w:anchor="dst100013" w:history="1">
        <w:r w:rsidRPr="00F27937">
          <w:rPr>
            <w:rFonts w:ascii="Arial" w:eastAsia="Times New Roman" w:hAnsi="Arial" w:cs="Arial"/>
            <w:color w:val="666699"/>
            <w:sz w:val="24"/>
            <w:szCs w:val="24"/>
            <w:lang w:eastAsia="ru-RU"/>
          </w:rPr>
          <w:t>Постановлением</w:t>
        </w:r>
      </w:hyperlink>
      <w:r w:rsidRPr="00F27937">
        <w:rPr>
          <w:rFonts w:ascii="Arial" w:eastAsia="Times New Roman" w:hAnsi="Arial" w:cs="Arial"/>
          <w:color w:val="333333"/>
          <w:sz w:val="24"/>
          <w:szCs w:val="24"/>
          <w:lang w:eastAsia="ru-RU"/>
        </w:rPr>
        <w:t> Правительства РФ от 24.03.2017 N 333)</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 w:name="dst100407"/>
      <w:bookmarkEnd w:id="3"/>
      <w:r w:rsidRPr="00F27937">
        <w:rPr>
          <w:rFonts w:ascii="Arial" w:eastAsia="Times New Roman" w:hAnsi="Arial" w:cs="Arial"/>
          <w:color w:val="333333"/>
          <w:sz w:val="24"/>
          <w:szCs w:val="24"/>
          <w:lang w:eastAsia="ru-RU"/>
        </w:rPr>
        <w:t>20.3. При буксировке на гибкой сцепке должно быть обеспечено расстояние между буксирующим и буксируемым транспортными средствами в пределах 4 - 6 м, а при буксировке на жесткой сцепке - не более 4 м.</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4" w:name="dst24"/>
      <w:bookmarkEnd w:id="4"/>
      <w:r w:rsidRPr="00F27937">
        <w:rPr>
          <w:rFonts w:ascii="Arial" w:eastAsia="Times New Roman" w:hAnsi="Arial" w:cs="Arial"/>
          <w:color w:val="333333"/>
          <w:sz w:val="24"/>
          <w:szCs w:val="24"/>
          <w:lang w:eastAsia="ru-RU"/>
        </w:rPr>
        <w:t>Гибкое связующее звено должно быть обозначено в соответствии с </w:t>
      </w:r>
      <w:hyperlink r:id="rId6" w:anchor="dst100777" w:history="1">
        <w:r w:rsidRPr="00F27937">
          <w:rPr>
            <w:rFonts w:ascii="Arial" w:eastAsia="Times New Roman" w:hAnsi="Arial" w:cs="Arial"/>
            <w:color w:val="666699"/>
            <w:sz w:val="24"/>
            <w:szCs w:val="24"/>
            <w:lang w:eastAsia="ru-RU"/>
          </w:rPr>
          <w:t>пунктом 9</w:t>
        </w:r>
      </w:hyperlink>
      <w:r w:rsidRPr="00F27937">
        <w:rPr>
          <w:rFonts w:ascii="Arial" w:eastAsia="Times New Roman" w:hAnsi="Arial" w:cs="Arial"/>
          <w:color w:val="333333"/>
          <w:sz w:val="24"/>
          <w:szCs w:val="24"/>
          <w:lang w:eastAsia="ru-RU"/>
        </w:rPr>
        <w:t> Основных положений.</w:t>
      </w:r>
    </w:p>
    <w:p w:rsidR="00F27937" w:rsidRPr="00F27937" w:rsidRDefault="00F27937" w:rsidP="00F27937">
      <w:pPr>
        <w:shd w:val="clear" w:color="auto" w:fill="FFFFFF"/>
        <w:spacing w:after="0" w:line="290" w:lineRule="atLeast"/>
        <w:jc w:val="both"/>
        <w:rPr>
          <w:rFonts w:ascii="Arial" w:eastAsia="Times New Roman" w:hAnsi="Arial" w:cs="Arial"/>
          <w:color w:val="333333"/>
          <w:sz w:val="24"/>
          <w:szCs w:val="24"/>
          <w:lang w:eastAsia="ru-RU"/>
        </w:rPr>
      </w:pPr>
      <w:r w:rsidRPr="00F27937">
        <w:rPr>
          <w:rFonts w:ascii="Arial" w:eastAsia="Times New Roman" w:hAnsi="Arial" w:cs="Arial"/>
          <w:color w:val="333333"/>
          <w:sz w:val="24"/>
          <w:szCs w:val="24"/>
          <w:lang w:eastAsia="ru-RU"/>
        </w:rPr>
        <w:t>(</w:t>
      </w:r>
      <w:proofErr w:type="gramStart"/>
      <w:r w:rsidRPr="00F27937">
        <w:rPr>
          <w:rFonts w:ascii="Arial" w:eastAsia="Times New Roman" w:hAnsi="Arial" w:cs="Arial"/>
          <w:color w:val="333333"/>
          <w:sz w:val="24"/>
          <w:szCs w:val="24"/>
          <w:lang w:eastAsia="ru-RU"/>
        </w:rPr>
        <w:t>а</w:t>
      </w:r>
      <w:proofErr w:type="gramEnd"/>
      <w:r w:rsidRPr="00F27937">
        <w:rPr>
          <w:rFonts w:ascii="Arial" w:eastAsia="Times New Roman" w:hAnsi="Arial" w:cs="Arial"/>
          <w:color w:val="333333"/>
          <w:sz w:val="24"/>
          <w:szCs w:val="24"/>
          <w:lang w:eastAsia="ru-RU"/>
        </w:rPr>
        <w:t>бзац введен </w:t>
      </w:r>
      <w:hyperlink r:id="rId7" w:anchor="dst100040" w:history="1">
        <w:r w:rsidRPr="00F27937">
          <w:rPr>
            <w:rFonts w:ascii="Arial" w:eastAsia="Times New Roman" w:hAnsi="Arial" w:cs="Arial"/>
            <w:color w:val="666699"/>
            <w:sz w:val="24"/>
            <w:szCs w:val="24"/>
            <w:lang w:eastAsia="ru-RU"/>
          </w:rPr>
          <w:t>Постановлением</w:t>
        </w:r>
      </w:hyperlink>
      <w:r w:rsidRPr="00F27937">
        <w:rPr>
          <w:rFonts w:ascii="Arial" w:eastAsia="Times New Roman" w:hAnsi="Arial" w:cs="Arial"/>
          <w:color w:val="333333"/>
          <w:sz w:val="24"/>
          <w:szCs w:val="24"/>
          <w:lang w:eastAsia="ru-RU"/>
        </w:rPr>
        <w:t> Правительства РФ от 25.09.2003 N 595)</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5" w:name="dst100408"/>
      <w:bookmarkEnd w:id="5"/>
      <w:r w:rsidRPr="00F27937">
        <w:rPr>
          <w:rFonts w:ascii="Arial" w:eastAsia="Times New Roman" w:hAnsi="Arial" w:cs="Arial"/>
          <w:color w:val="333333"/>
          <w:sz w:val="24"/>
          <w:szCs w:val="24"/>
          <w:lang w:eastAsia="ru-RU"/>
        </w:rPr>
        <w:t>20.4. Буксировка запрещается:</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6" w:name="dst100409"/>
      <w:bookmarkEnd w:id="6"/>
      <w:r w:rsidRPr="00F27937">
        <w:rPr>
          <w:rFonts w:ascii="Arial" w:eastAsia="Times New Roman" w:hAnsi="Arial" w:cs="Arial"/>
          <w:color w:val="333333"/>
          <w:sz w:val="24"/>
          <w:szCs w:val="24"/>
          <w:lang w:eastAsia="ru-RU"/>
        </w:rPr>
        <w:t>транспортных средств, у которых не действует рулевое управление &lt;*&gt; (допускается буксировка методом частичной погрузки);</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7" w:name="dst100410"/>
      <w:bookmarkEnd w:id="7"/>
      <w:r w:rsidRPr="00F27937">
        <w:rPr>
          <w:rFonts w:ascii="Arial" w:eastAsia="Times New Roman" w:hAnsi="Arial" w:cs="Arial"/>
          <w:color w:val="333333"/>
          <w:sz w:val="24"/>
          <w:szCs w:val="24"/>
          <w:lang w:eastAsia="ru-RU"/>
        </w:rPr>
        <w:t>двух и более транспортных средств;</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8" w:name="dst100411"/>
      <w:bookmarkEnd w:id="8"/>
      <w:r w:rsidRPr="00F27937">
        <w:rPr>
          <w:rFonts w:ascii="Arial" w:eastAsia="Times New Roman" w:hAnsi="Arial" w:cs="Arial"/>
          <w:color w:val="333333"/>
          <w:sz w:val="24"/>
          <w:szCs w:val="24"/>
          <w:lang w:eastAsia="ru-RU"/>
        </w:rPr>
        <w:t>транспортных средств с недействующей тормозной системой &lt;*&gt;,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9" w:name="dst100412"/>
      <w:bookmarkEnd w:id="9"/>
      <w:r w:rsidRPr="00F27937">
        <w:rPr>
          <w:rFonts w:ascii="Arial" w:eastAsia="Times New Roman" w:hAnsi="Arial" w:cs="Arial"/>
          <w:color w:val="333333"/>
          <w:sz w:val="24"/>
          <w:szCs w:val="24"/>
          <w:lang w:eastAsia="ru-RU"/>
        </w:rPr>
        <w:t>--------------------------------</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0" w:name="dst100413"/>
      <w:bookmarkEnd w:id="10"/>
      <w:r w:rsidRPr="00F27937">
        <w:rPr>
          <w:rFonts w:ascii="Arial" w:eastAsia="Times New Roman" w:hAnsi="Arial" w:cs="Arial"/>
          <w:color w:val="333333"/>
          <w:sz w:val="24"/>
          <w:szCs w:val="24"/>
          <w:lang w:eastAsia="ru-RU"/>
        </w:rPr>
        <w:t>&lt;*&gt;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F27937" w:rsidRPr="00F27937" w:rsidRDefault="00F27937" w:rsidP="00F27937">
      <w:pPr>
        <w:shd w:val="clear" w:color="auto" w:fill="FFFFFF"/>
        <w:spacing w:after="0" w:line="290" w:lineRule="atLeast"/>
        <w:jc w:val="both"/>
        <w:rPr>
          <w:rFonts w:ascii="Arial" w:eastAsia="Times New Roman" w:hAnsi="Arial" w:cs="Arial"/>
          <w:color w:val="333333"/>
          <w:sz w:val="24"/>
          <w:szCs w:val="24"/>
          <w:lang w:eastAsia="ru-RU"/>
        </w:rPr>
      </w:pPr>
      <w:r w:rsidRPr="00F27937">
        <w:rPr>
          <w:rFonts w:ascii="Arial" w:eastAsia="Times New Roman" w:hAnsi="Arial" w:cs="Arial"/>
          <w:color w:val="333333"/>
          <w:sz w:val="24"/>
          <w:szCs w:val="24"/>
          <w:lang w:eastAsia="ru-RU"/>
        </w:rPr>
        <w:t> </w:t>
      </w:r>
    </w:p>
    <w:p w:rsidR="00F27937" w:rsidRPr="00F27937" w:rsidRDefault="00F27937" w:rsidP="00F27937">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1" w:name="dst300"/>
      <w:bookmarkEnd w:id="11"/>
      <w:r w:rsidRPr="00F27937">
        <w:rPr>
          <w:rFonts w:ascii="Arial" w:eastAsia="Times New Roman" w:hAnsi="Arial" w:cs="Arial"/>
          <w:color w:val="333333"/>
          <w:sz w:val="24"/>
          <w:szCs w:val="24"/>
          <w:lang w:eastAsia="ru-RU"/>
        </w:rPr>
        <w:t>двухколесными мотоциклами без бокового прицепа, а также таких мотоциклов;</w:t>
      </w:r>
    </w:p>
    <w:p w:rsidR="00F27937" w:rsidRPr="00F27937" w:rsidRDefault="00F27937" w:rsidP="00F27937">
      <w:pPr>
        <w:shd w:val="clear" w:color="auto" w:fill="FFFFFF"/>
        <w:spacing w:after="0" w:line="290" w:lineRule="atLeast"/>
        <w:jc w:val="both"/>
        <w:rPr>
          <w:rFonts w:ascii="Arial" w:eastAsia="Times New Roman" w:hAnsi="Arial" w:cs="Arial"/>
          <w:color w:val="333333"/>
          <w:sz w:val="24"/>
          <w:szCs w:val="24"/>
          <w:lang w:eastAsia="ru-RU"/>
        </w:rPr>
      </w:pPr>
      <w:r w:rsidRPr="00F27937">
        <w:rPr>
          <w:rFonts w:ascii="Arial" w:eastAsia="Times New Roman" w:hAnsi="Arial" w:cs="Arial"/>
          <w:color w:val="333333"/>
          <w:sz w:val="24"/>
          <w:szCs w:val="24"/>
          <w:lang w:eastAsia="ru-RU"/>
        </w:rPr>
        <w:t>(в ред. </w:t>
      </w:r>
      <w:hyperlink r:id="rId8" w:anchor="dst100272" w:history="1">
        <w:r w:rsidRPr="00F27937">
          <w:rPr>
            <w:rFonts w:ascii="Arial" w:eastAsia="Times New Roman" w:hAnsi="Arial" w:cs="Arial"/>
            <w:color w:val="666699"/>
            <w:sz w:val="24"/>
            <w:szCs w:val="24"/>
            <w:lang w:eastAsia="ru-RU"/>
          </w:rPr>
          <w:t>Постановления</w:t>
        </w:r>
      </w:hyperlink>
      <w:r w:rsidRPr="00F27937">
        <w:rPr>
          <w:rFonts w:ascii="Arial" w:eastAsia="Times New Roman" w:hAnsi="Arial" w:cs="Arial"/>
          <w:color w:val="333333"/>
          <w:sz w:val="24"/>
          <w:szCs w:val="24"/>
          <w:lang w:eastAsia="ru-RU"/>
        </w:rPr>
        <w:t> Правительства РФ от 24.10.2014 N 1097)</w:t>
      </w:r>
    </w:p>
    <w:p w:rsidR="00F27937" w:rsidRPr="00F27937" w:rsidRDefault="00F27937" w:rsidP="00F27937">
      <w:pPr>
        <w:shd w:val="clear" w:color="auto" w:fill="FFFFFF"/>
        <w:spacing w:after="0" w:line="362" w:lineRule="atLeast"/>
        <w:jc w:val="both"/>
        <w:rPr>
          <w:rFonts w:ascii="Arial" w:eastAsia="Times New Roman" w:hAnsi="Arial" w:cs="Arial"/>
          <w:color w:val="333333"/>
          <w:sz w:val="24"/>
          <w:szCs w:val="24"/>
          <w:lang w:eastAsia="ru-RU"/>
        </w:rPr>
      </w:pPr>
      <w:r w:rsidRPr="00F27937">
        <w:rPr>
          <w:rFonts w:ascii="Arial" w:eastAsia="Times New Roman" w:hAnsi="Arial" w:cs="Arial"/>
          <w:color w:val="333333"/>
          <w:sz w:val="24"/>
          <w:szCs w:val="24"/>
          <w:lang w:eastAsia="ru-RU"/>
        </w:rPr>
        <w:t>(см. те</w:t>
      </w:r>
      <w:proofErr w:type="gramStart"/>
      <w:r w:rsidRPr="00F27937">
        <w:rPr>
          <w:rFonts w:ascii="Arial" w:eastAsia="Times New Roman" w:hAnsi="Arial" w:cs="Arial"/>
          <w:color w:val="333333"/>
          <w:sz w:val="24"/>
          <w:szCs w:val="24"/>
          <w:lang w:eastAsia="ru-RU"/>
        </w:rPr>
        <w:t>кст в пр</w:t>
      </w:r>
      <w:proofErr w:type="gramEnd"/>
      <w:r w:rsidRPr="00F27937">
        <w:rPr>
          <w:rFonts w:ascii="Arial" w:eastAsia="Times New Roman" w:hAnsi="Arial" w:cs="Arial"/>
          <w:color w:val="333333"/>
          <w:sz w:val="24"/>
          <w:szCs w:val="24"/>
          <w:lang w:eastAsia="ru-RU"/>
        </w:rPr>
        <w:t>едыдущей редакции)</w:t>
      </w:r>
    </w:p>
    <w:p w:rsidR="00AC2647" w:rsidRDefault="00AC2647">
      <w:bookmarkStart w:id="12" w:name="_GoBack"/>
      <w:bookmarkEnd w:id="12"/>
    </w:p>
    <w:sectPr w:rsidR="00AC2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37"/>
    <w:rsid w:val="00AA3E83"/>
    <w:rsid w:val="00AC2647"/>
    <w:rsid w:val="00F2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83"/>
  </w:style>
  <w:style w:type="paragraph" w:styleId="1">
    <w:name w:val="heading 1"/>
    <w:basedOn w:val="a"/>
    <w:link w:val="10"/>
    <w:uiPriority w:val="9"/>
    <w:qFormat/>
    <w:rsid w:val="00F27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937"/>
    <w:rPr>
      <w:rFonts w:ascii="Times New Roman" w:eastAsia="Times New Roman" w:hAnsi="Times New Roman" w:cs="Times New Roman"/>
      <w:b/>
      <w:bCs/>
      <w:kern w:val="36"/>
      <w:sz w:val="48"/>
      <w:szCs w:val="48"/>
      <w:lang w:eastAsia="ru-RU"/>
    </w:rPr>
  </w:style>
  <w:style w:type="character" w:customStyle="1" w:styleId="blk">
    <w:name w:val="blk"/>
    <w:basedOn w:val="a0"/>
    <w:rsid w:val="00F27937"/>
  </w:style>
  <w:style w:type="character" w:customStyle="1" w:styleId="hl">
    <w:name w:val="hl"/>
    <w:basedOn w:val="a0"/>
    <w:rsid w:val="00F27937"/>
  </w:style>
  <w:style w:type="character" w:customStyle="1" w:styleId="nobr">
    <w:name w:val="nobr"/>
    <w:basedOn w:val="a0"/>
    <w:rsid w:val="00F27937"/>
  </w:style>
  <w:style w:type="character" w:styleId="a3">
    <w:name w:val="Hyperlink"/>
    <w:basedOn w:val="a0"/>
    <w:uiPriority w:val="99"/>
    <w:semiHidden/>
    <w:unhideWhenUsed/>
    <w:rsid w:val="00F279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83"/>
  </w:style>
  <w:style w:type="paragraph" w:styleId="1">
    <w:name w:val="heading 1"/>
    <w:basedOn w:val="a"/>
    <w:link w:val="10"/>
    <w:uiPriority w:val="9"/>
    <w:qFormat/>
    <w:rsid w:val="00F27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937"/>
    <w:rPr>
      <w:rFonts w:ascii="Times New Roman" w:eastAsia="Times New Roman" w:hAnsi="Times New Roman" w:cs="Times New Roman"/>
      <w:b/>
      <w:bCs/>
      <w:kern w:val="36"/>
      <w:sz w:val="48"/>
      <w:szCs w:val="48"/>
      <w:lang w:eastAsia="ru-RU"/>
    </w:rPr>
  </w:style>
  <w:style w:type="character" w:customStyle="1" w:styleId="blk">
    <w:name w:val="blk"/>
    <w:basedOn w:val="a0"/>
    <w:rsid w:val="00F27937"/>
  </w:style>
  <w:style w:type="character" w:customStyle="1" w:styleId="hl">
    <w:name w:val="hl"/>
    <w:basedOn w:val="a0"/>
    <w:rsid w:val="00F27937"/>
  </w:style>
  <w:style w:type="character" w:customStyle="1" w:styleId="nobr">
    <w:name w:val="nobr"/>
    <w:basedOn w:val="a0"/>
    <w:rsid w:val="00F27937"/>
  </w:style>
  <w:style w:type="character" w:styleId="a3">
    <w:name w:val="Hyperlink"/>
    <w:basedOn w:val="a0"/>
    <w:uiPriority w:val="99"/>
    <w:semiHidden/>
    <w:unhideWhenUsed/>
    <w:rsid w:val="00F27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8059">
      <w:bodyDiv w:val="1"/>
      <w:marLeft w:val="0"/>
      <w:marRight w:val="0"/>
      <w:marTop w:val="0"/>
      <w:marBottom w:val="0"/>
      <w:divBdr>
        <w:top w:val="none" w:sz="0" w:space="0" w:color="auto"/>
        <w:left w:val="none" w:sz="0" w:space="0" w:color="auto"/>
        <w:bottom w:val="none" w:sz="0" w:space="0" w:color="auto"/>
        <w:right w:val="none" w:sz="0" w:space="0" w:color="auto"/>
      </w:divBdr>
      <w:divsChild>
        <w:div w:id="1509171876">
          <w:marLeft w:val="0"/>
          <w:marRight w:val="0"/>
          <w:marTop w:val="120"/>
          <w:marBottom w:val="0"/>
          <w:divBdr>
            <w:top w:val="none" w:sz="0" w:space="0" w:color="auto"/>
            <w:left w:val="none" w:sz="0" w:space="0" w:color="auto"/>
            <w:bottom w:val="none" w:sz="0" w:space="0" w:color="auto"/>
            <w:right w:val="none" w:sz="0" w:space="0" w:color="auto"/>
          </w:divBdr>
        </w:div>
        <w:div w:id="45107291">
          <w:marLeft w:val="0"/>
          <w:marRight w:val="0"/>
          <w:marTop w:val="120"/>
          <w:marBottom w:val="0"/>
          <w:divBdr>
            <w:top w:val="none" w:sz="0" w:space="0" w:color="auto"/>
            <w:left w:val="none" w:sz="0" w:space="0" w:color="auto"/>
            <w:bottom w:val="none" w:sz="0" w:space="0" w:color="auto"/>
            <w:right w:val="none" w:sz="0" w:space="0" w:color="auto"/>
          </w:divBdr>
        </w:div>
        <w:div w:id="1619992026">
          <w:marLeft w:val="0"/>
          <w:marRight w:val="0"/>
          <w:marTop w:val="120"/>
          <w:marBottom w:val="0"/>
          <w:divBdr>
            <w:top w:val="none" w:sz="0" w:space="0" w:color="auto"/>
            <w:left w:val="none" w:sz="0" w:space="0" w:color="auto"/>
            <w:bottom w:val="none" w:sz="0" w:space="0" w:color="auto"/>
            <w:right w:val="none" w:sz="0" w:space="0" w:color="auto"/>
          </w:divBdr>
        </w:div>
        <w:div w:id="1065180943">
          <w:marLeft w:val="0"/>
          <w:marRight w:val="0"/>
          <w:marTop w:val="120"/>
          <w:marBottom w:val="0"/>
          <w:divBdr>
            <w:top w:val="none" w:sz="0" w:space="0" w:color="auto"/>
            <w:left w:val="none" w:sz="0" w:space="0" w:color="auto"/>
            <w:bottom w:val="none" w:sz="0" w:space="0" w:color="auto"/>
            <w:right w:val="none" w:sz="0" w:space="0" w:color="auto"/>
          </w:divBdr>
        </w:div>
        <w:div w:id="1624262789">
          <w:marLeft w:val="0"/>
          <w:marRight w:val="0"/>
          <w:marTop w:val="120"/>
          <w:marBottom w:val="0"/>
          <w:divBdr>
            <w:top w:val="none" w:sz="0" w:space="0" w:color="auto"/>
            <w:left w:val="none" w:sz="0" w:space="0" w:color="auto"/>
            <w:bottom w:val="none" w:sz="0" w:space="0" w:color="auto"/>
            <w:right w:val="none" w:sz="0" w:space="0" w:color="auto"/>
          </w:divBdr>
        </w:div>
        <w:div w:id="630936793">
          <w:marLeft w:val="0"/>
          <w:marRight w:val="0"/>
          <w:marTop w:val="120"/>
          <w:marBottom w:val="0"/>
          <w:divBdr>
            <w:top w:val="none" w:sz="0" w:space="0" w:color="auto"/>
            <w:left w:val="none" w:sz="0" w:space="0" w:color="auto"/>
            <w:bottom w:val="none" w:sz="0" w:space="0" w:color="auto"/>
            <w:right w:val="none" w:sz="0" w:space="0" w:color="auto"/>
          </w:divBdr>
        </w:div>
        <w:div w:id="558827312">
          <w:marLeft w:val="0"/>
          <w:marRight w:val="0"/>
          <w:marTop w:val="120"/>
          <w:marBottom w:val="0"/>
          <w:divBdr>
            <w:top w:val="none" w:sz="0" w:space="0" w:color="auto"/>
            <w:left w:val="none" w:sz="0" w:space="0" w:color="auto"/>
            <w:bottom w:val="none" w:sz="0" w:space="0" w:color="auto"/>
            <w:right w:val="none" w:sz="0" w:space="0" w:color="auto"/>
          </w:divBdr>
        </w:div>
        <w:div w:id="1271082320">
          <w:marLeft w:val="0"/>
          <w:marRight w:val="0"/>
          <w:marTop w:val="120"/>
          <w:marBottom w:val="0"/>
          <w:divBdr>
            <w:top w:val="none" w:sz="0" w:space="0" w:color="auto"/>
            <w:left w:val="none" w:sz="0" w:space="0" w:color="auto"/>
            <w:bottom w:val="none" w:sz="0" w:space="0" w:color="auto"/>
            <w:right w:val="none" w:sz="0" w:space="0" w:color="auto"/>
          </w:divBdr>
        </w:div>
        <w:div w:id="1487164649">
          <w:marLeft w:val="0"/>
          <w:marRight w:val="0"/>
          <w:marTop w:val="120"/>
          <w:marBottom w:val="0"/>
          <w:divBdr>
            <w:top w:val="none" w:sz="0" w:space="0" w:color="auto"/>
            <w:left w:val="none" w:sz="0" w:space="0" w:color="auto"/>
            <w:bottom w:val="none" w:sz="0" w:space="0" w:color="auto"/>
            <w:right w:val="none" w:sz="0" w:space="0" w:color="auto"/>
          </w:divBdr>
        </w:div>
        <w:div w:id="253591444">
          <w:marLeft w:val="0"/>
          <w:marRight w:val="0"/>
          <w:marTop w:val="120"/>
          <w:marBottom w:val="0"/>
          <w:divBdr>
            <w:top w:val="none" w:sz="0" w:space="0" w:color="auto"/>
            <w:left w:val="none" w:sz="0" w:space="0" w:color="auto"/>
            <w:bottom w:val="none" w:sz="0" w:space="0" w:color="auto"/>
            <w:right w:val="none" w:sz="0" w:space="0" w:color="auto"/>
          </w:divBdr>
        </w:div>
        <w:div w:id="4329057">
          <w:marLeft w:val="0"/>
          <w:marRight w:val="0"/>
          <w:marTop w:val="120"/>
          <w:marBottom w:val="0"/>
          <w:divBdr>
            <w:top w:val="none" w:sz="0" w:space="0" w:color="auto"/>
            <w:left w:val="none" w:sz="0" w:space="0" w:color="auto"/>
            <w:bottom w:val="none" w:sz="0" w:space="0" w:color="auto"/>
            <w:right w:val="none" w:sz="0" w:space="0" w:color="auto"/>
          </w:divBdr>
        </w:div>
        <w:div w:id="681275499">
          <w:marLeft w:val="0"/>
          <w:marRight w:val="0"/>
          <w:marTop w:val="120"/>
          <w:marBottom w:val="0"/>
          <w:divBdr>
            <w:top w:val="none" w:sz="0" w:space="0" w:color="auto"/>
            <w:left w:val="none" w:sz="0" w:space="0" w:color="auto"/>
            <w:bottom w:val="none" w:sz="0" w:space="0" w:color="auto"/>
            <w:right w:val="none" w:sz="0" w:space="0" w:color="auto"/>
          </w:divBdr>
        </w:div>
        <w:div w:id="1579944697">
          <w:marLeft w:val="0"/>
          <w:marRight w:val="0"/>
          <w:marTop w:val="120"/>
          <w:marBottom w:val="0"/>
          <w:divBdr>
            <w:top w:val="none" w:sz="0" w:space="0" w:color="auto"/>
            <w:left w:val="none" w:sz="0" w:space="0" w:color="auto"/>
            <w:bottom w:val="none" w:sz="0" w:space="0" w:color="auto"/>
            <w:right w:val="none" w:sz="0" w:space="0" w:color="auto"/>
          </w:divBdr>
        </w:div>
        <w:div w:id="133108542">
          <w:marLeft w:val="0"/>
          <w:marRight w:val="0"/>
          <w:marTop w:val="120"/>
          <w:marBottom w:val="0"/>
          <w:divBdr>
            <w:top w:val="none" w:sz="0" w:space="0" w:color="auto"/>
            <w:left w:val="none" w:sz="0" w:space="0" w:color="auto"/>
            <w:bottom w:val="none" w:sz="0" w:space="0" w:color="auto"/>
            <w:right w:val="none" w:sz="0" w:space="0" w:color="auto"/>
          </w:divBdr>
        </w:div>
        <w:div w:id="1256940730">
          <w:marLeft w:val="0"/>
          <w:marRight w:val="0"/>
          <w:marTop w:val="120"/>
          <w:marBottom w:val="0"/>
          <w:divBdr>
            <w:top w:val="none" w:sz="0" w:space="0" w:color="auto"/>
            <w:left w:val="none" w:sz="0" w:space="0" w:color="auto"/>
            <w:bottom w:val="none" w:sz="0" w:space="0" w:color="auto"/>
            <w:right w:val="none" w:sz="0" w:space="0" w:color="auto"/>
          </w:divBdr>
        </w:div>
        <w:div w:id="1728648025">
          <w:marLeft w:val="0"/>
          <w:marRight w:val="0"/>
          <w:marTop w:val="120"/>
          <w:marBottom w:val="0"/>
          <w:divBdr>
            <w:top w:val="none" w:sz="0" w:space="0" w:color="auto"/>
            <w:left w:val="none" w:sz="0" w:space="0" w:color="auto"/>
            <w:bottom w:val="none" w:sz="0" w:space="0" w:color="auto"/>
            <w:right w:val="none" w:sz="0" w:space="0" w:color="auto"/>
          </w:divBdr>
        </w:div>
        <w:div w:id="143540110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1185/a8feffff32bfaf32a3d0f1e5fc8c661b4360c9a7/" TargetMode="External"/><Relationship Id="rId3" Type="http://schemas.openxmlformats.org/officeDocument/2006/relationships/settings" Target="settings.xml"/><Relationship Id="rId7" Type="http://schemas.openxmlformats.org/officeDocument/2006/relationships/hyperlink" Target="http://www.consultant.ru/document/cons_doc_LAW_44475/65c5f352672c5eedb7c484beb8791c7e887e374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41459/6d8c7fbd95f0b2f282a790182c6d28e791f15e51/" TargetMode="External"/><Relationship Id="rId5" Type="http://schemas.openxmlformats.org/officeDocument/2006/relationships/hyperlink" Target="http://www.consultant.ru/document/cons_doc_LAW_214402/a8feffff32bfaf32a3d0f1e5fc8c661b4360c9a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2</cp:revision>
  <dcterms:created xsi:type="dcterms:W3CDTF">2020-03-19T02:38:00Z</dcterms:created>
  <dcterms:modified xsi:type="dcterms:W3CDTF">2020-03-19T02:39:00Z</dcterms:modified>
</cp:coreProperties>
</file>